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集装箱式望远镜舱</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201</w:t>
      </w:r>
      <w:r>
        <w:rPr>
          <w:rFonts w:ascii="方正小标宋简体" w:hAnsi="宋体" w:eastAsia="方正小标宋简体"/>
          <w:b/>
          <w:sz w:val="32"/>
          <w:szCs w:val="32"/>
        </w:rPr>
        <w:t>9</w:t>
      </w:r>
      <w:r>
        <w:rPr>
          <w:rFonts w:hint="eastAsia" w:ascii="方正小标宋简体" w:hAnsi="宋体" w:eastAsia="方正小标宋简体"/>
          <w:b/>
          <w:sz w:val="32"/>
          <w:szCs w:val="32"/>
        </w:rPr>
        <w:t>年</w:t>
      </w:r>
      <w:r>
        <w:rPr>
          <w:rFonts w:ascii="方正小标宋简体" w:hAnsi="宋体" w:eastAsia="方正小标宋简体"/>
          <w:b/>
          <w:sz w:val="32"/>
          <w:szCs w:val="32"/>
        </w:rPr>
        <w:t>10</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1940"/>
      <w:bookmarkStart w:id="4" w:name="_Toc3735"/>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集装箱式望远镜舱</w:t>
      </w:r>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集装箱式望远镜舱</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PMODM201</w:t>
      </w:r>
      <w:r>
        <w:rPr>
          <w:rFonts w:ascii="宋体" w:hAnsi="宋体"/>
          <w:szCs w:val="21"/>
          <w:highlight w:val="yellow"/>
        </w:rPr>
        <w:t>9</w:t>
      </w:r>
      <w:r>
        <w:rPr>
          <w:rFonts w:hint="eastAsia" w:ascii="宋体" w:hAnsi="宋体"/>
          <w:szCs w:val="21"/>
          <w:highlight w:val="yellow"/>
        </w:rPr>
        <w:t>001</w:t>
      </w:r>
      <w:r>
        <w:rPr>
          <w:rFonts w:hint="eastAsia" w:ascii="宋体" w:hAnsi="宋体"/>
          <w:szCs w:val="21"/>
          <w:highlight w:val="yellow"/>
          <w:lang w:val="en-US" w:eastAsia="zh-CN"/>
        </w:rPr>
        <w:t>5</w:t>
      </w:r>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hint="eastAsia" w:ascii="黑体" w:hAnsi="黑体"/>
          <w:b/>
          <w:sz w:val="24"/>
          <w:szCs w:val="24"/>
        </w:rPr>
        <w:t>9</w:t>
      </w:r>
      <w:r>
        <w:rPr>
          <w:rFonts w:ascii="黑体" w:hAnsi="黑体"/>
          <w:b/>
          <w:sz w:val="24"/>
          <w:szCs w:val="24"/>
        </w:rPr>
        <w:t>2</w:t>
      </w:r>
      <w:r>
        <w:rPr>
          <w:rFonts w:hint="eastAsia" w:ascii="黑体" w:hAnsi="黑体"/>
          <w:sz w:val="24"/>
          <w:szCs w:val="24"/>
        </w:rPr>
        <w:t>万元人民币（玖拾贰万元人民币）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集装箱式望远镜舱  四套</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五个月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numPr>
          <w:ilvl w:val="0"/>
          <w:numId w:val="1"/>
        </w:numPr>
        <w:spacing w:line="360" w:lineRule="auto"/>
        <w:rPr>
          <w:rFonts w:ascii="宋体" w:hAnsi="宋体"/>
          <w:szCs w:val="21"/>
        </w:rPr>
      </w:pPr>
      <w:r>
        <w:rPr>
          <w:rFonts w:hint="eastAsia" w:ascii="宋体" w:hAnsi="宋体"/>
          <w:szCs w:val="21"/>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w:t>
      </w:r>
      <w:r>
        <w:rPr>
          <w:rFonts w:ascii="宋体" w:hAnsi="宋体"/>
          <w:bCs/>
          <w:szCs w:val="21"/>
        </w:rPr>
        <w:t>11</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联系人：平一鼎   电话：</w:t>
      </w:r>
      <w:r>
        <w:rPr>
          <w:rFonts w:ascii="宋体" w:hAnsi="宋体"/>
          <w:bCs/>
          <w:szCs w:val="21"/>
        </w:rPr>
        <w:t>17326102135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月9日9：00（北京时间）。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12、响应文件递交截止时间暨开启时间：201</w:t>
      </w:r>
      <w:r>
        <w:rPr>
          <w:rFonts w:hint="eastAsia" w:ascii="宋体" w:hAnsi="宋体"/>
          <w:bCs/>
          <w:szCs w:val="21"/>
          <w:lang w:val="en-US" w:eastAsia="zh-CN"/>
        </w:rPr>
        <w:t>9</w:t>
      </w:r>
      <w:bookmarkStart w:id="132" w:name="_GoBack"/>
      <w:bookmarkEnd w:id="132"/>
      <w:r>
        <w:rPr>
          <w:rFonts w:hint="eastAsia" w:ascii="宋体" w:hAnsi="宋体"/>
          <w:bCs/>
          <w:szCs w:val="21"/>
        </w:rPr>
        <w:t>年</w:t>
      </w:r>
      <w:r>
        <w:rPr>
          <w:rFonts w:ascii="宋体" w:hAnsi="宋体"/>
          <w:bCs/>
          <w:szCs w:val="21"/>
        </w:rPr>
        <w:t>10</w:t>
      </w:r>
      <w:r>
        <w:rPr>
          <w:rFonts w:hint="eastAsia" w:ascii="宋体" w:hAnsi="宋体"/>
          <w:bCs/>
          <w:szCs w:val="21"/>
        </w:rPr>
        <w:t>月14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7326102135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电子信箱：ydping@pmo.ac.cn</w:t>
      </w:r>
    </w:p>
    <w:p>
      <w:pPr>
        <w:spacing w:line="360" w:lineRule="auto"/>
        <w:ind w:firstLine="420" w:firstLineChars="200"/>
        <w:rPr>
          <w:rFonts w:ascii="宋体" w:hAnsi="宋体"/>
          <w:szCs w:val="21"/>
          <w:u w:val="single"/>
        </w:rPr>
      </w:pPr>
      <w:r>
        <w:rPr>
          <w:rFonts w:hint="eastAsia" w:ascii="宋体" w:hAnsi="宋体"/>
          <w:szCs w:val="21"/>
        </w:rPr>
        <w:t>联 系 人：平一鼎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35523632"/>
      <w:bookmarkStart w:id="7" w:name="_Toc421826393"/>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8" w:name="_Toc26328"/>
      <w:bookmarkStart w:id="9" w:name="_Toc18086"/>
      <w:bookmarkStart w:id="10" w:name="_Toc421826394"/>
      <w:bookmarkStart w:id="11" w:name="_Toc435523633"/>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435523634"/>
      <w:bookmarkStart w:id="13" w:name="_Toc20397"/>
      <w:bookmarkStart w:id="14" w:name="_Toc421826395"/>
      <w:bookmarkStart w:id="15" w:name="_Toc25903"/>
      <w:r>
        <w:rPr>
          <w:rFonts w:hint="eastAsia" w:ascii="宋体" w:hAnsi="宋体"/>
          <w:sz w:val="21"/>
          <w:szCs w:val="21"/>
        </w:rPr>
        <w:t>三、竞争性谈判费用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6" w:name="_Toc24732"/>
      <w:bookmarkStart w:id="17" w:name="_Toc10017"/>
      <w:bookmarkStart w:id="18" w:name="_Toc421826396"/>
      <w:bookmarkStart w:id="19" w:name="_Toc435523635"/>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6201963"/>
      <w:bookmarkStart w:id="21" w:name="_Toc46134451"/>
      <w:bookmarkStart w:id="22" w:name="_Toc4668"/>
      <w:bookmarkStart w:id="23" w:name="_Toc435523636"/>
      <w:bookmarkStart w:id="24" w:name="_Toc1155"/>
      <w:bookmarkStart w:id="25" w:name="_Toc46227093"/>
      <w:bookmarkStart w:id="26" w:name="_Toc421826397"/>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7" w:name="_Toc46227094"/>
      <w:bookmarkStart w:id="28" w:name="_Toc421826398"/>
      <w:bookmarkStart w:id="29" w:name="_Toc46201964"/>
      <w:bookmarkStart w:id="30" w:name="_Toc46134452"/>
      <w:bookmarkStart w:id="31" w:name="_Toc19900"/>
      <w:bookmarkStart w:id="32" w:name="_Toc435523637"/>
      <w:bookmarkStart w:id="33" w:name="_Toc20418"/>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21826399"/>
      <w:bookmarkStart w:id="36" w:name="_Toc435523638"/>
      <w:bookmarkStart w:id="37" w:name="_Toc487900324"/>
      <w:bookmarkStart w:id="38" w:name="_Ref467306513"/>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39" w:name="_Toc421826400"/>
      <w:bookmarkStart w:id="40" w:name="_Toc435523639"/>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435523640"/>
      <w:bookmarkStart w:id="42" w:name="_Toc487900326"/>
      <w:bookmarkStart w:id="43" w:name="_Toc421826401"/>
      <w:bookmarkStart w:id="44" w:name="_Toc30518"/>
      <w:bookmarkStart w:id="45" w:name="_Toc26129"/>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421826402"/>
      <w:bookmarkStart w:id="47" w:name="_Toc435523641"/>
      <w:bookmarkStart w:id="48" w:name="_Toc18721"/>
      <w:bookmarkStart w:id="49" w:name="_Toc13738"/>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13670"/>
      <w:bookmarkStart w:id="51" w:name="_Toc435523642"/>
      <w:bookmarkStart w:id="52" w:name="_Toc23127"/>
      <w:bookmarkStart w:id="53" w:name="_Toc421826403"/>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4" w:name="_Toc421826404"/>
      <w:bookmarkStart w:id="55" w:name="_Toc435523643"/>
      <w:bookmarkStart w:id="56" w:name="_Toc32190"/>
      <w:bookmarkStart w:id="57" w:name="_Toc8073"/>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58"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（20）</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rPr>
                <w:rFonts w:hint="eastAsia" w:ascii="宋体" w:hAnsi="宋体"/>
                <w:szCs w:val="21"/>
                <w:highlight w:val="yellow"/>
                <w:lang w:val="en-US" w:eastAsia="zh-CN"/>
              </w:rPr>
            </w:pPr>
            <w:r>
              <w:rPr>
                <w:rFonts w:hint="eastAsia" w:ascii="宋体" w:hAnsi="宋体"/>
                <w:szCs w:val="21"/>
                <w:highlight w:val="yellow"/>
              </w:rPr>
              <w:t>企业法人营业执照副本</w:t>
            </w:r>
            <w:r>
              <w:rPr>
                <w:rFonts w:hint="eastAsia" w:ascii="宋体" w:hAnsi="宋体"/>
                <w:szCs w:val="21"/>
                <w:highlight w:val="yellow"/>
                <w:lang w:val="en-US" w:eastAsia="zh-CN"/>
              </w:rPr>
              <w:t>2分；</w:t>
            </w:r>
          </w:p>
          <w:p>
            <w:pPr>
              <w:rPr>
                <w:rFonts w:hint="eastAsia" w:ascii="宋体" w:hAnsi="宋体"/>
                <w:szCs w:val="21"/>
                <w:highlight w:val="yellow"/>
                <w:lang w:val="en-US" w:eastAsia="zh-CN"/>
              </w:rPr>
            </w:pPr>
            <w:r>
              <w:rPr>
                <w:rFonts w:hint="eastAsia" w:ascii="宋体" w:hAnsi="宋体"/>
                <w:szCs w:val="21"/>
                <w:highlight w:val="yellow"/>
              </w:rPr>
              <w:t>税务登记证副本</w:t>
            </w:r>
            <w:r>
              <w:rPr>
                <w:rFonts w:hint="eastAsia" w:ascii="宋体" w:hAnsi="宋体"/>
                <w:szCs w:val="21"/>
                <w:highlight w:val="yellow"/>
                <w:lang w:val="en-US" w:eastAsia="zh-CN"/>
              </w:rPr>
              <w:t>2分；</w:t>
            </w:r>
          </w:p>
          <w:p>
            <w:pPr>
              <w:rPr>
                <w:rFonts w:hint="eastAsia" w:ascii="宋体" w:hAnsi="宋体" w:eastAsia="宋体"/>
                <w:szCs w:val="21"/>
                <w:highlight w:val="yellow"/>
                <w:lang w:val="en-US" w:eastAsia="zh-CN"/>
              </w:rPr>
            </w:pPr>
            <w:r>
              <w:rPr>
                <w:rFonts w:hint="eastAsia" w:ascii="宋体" w:hAnsi="宋体"/>
                <w:szCs w:val="21"/>
                <w:highlight w:val="yellow"/>
              </w:rPr>
              <w:t>组织机构代码证副本或境外企业合法证明材料</w:t>
            </w:r>
            <w:r>
              <w:rPr>
                <w:rFonts w:hint="eastAsia" w:ascii="宋体" w:hAnsi="宋体"/>
                <w:szCs w:val="21"/>
                <w:highlight w:val="yellow"/>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center"/>
              <w:rPr>
                <w:rFonts w:ascii="宋体" w:hAnsi="宋体"/>
                <w:szCs w:val="21"/>
                <w:highlight w:val="yellow"/>
              </w:rPr>
            </w:pPr>
            <w:r>
              <w:rPr>
                <w:rFonts w:hint="eastAsia"/>
                <w:color w:val="000000"/>
                <w:szCs w:val="21"/>
                <w:highlight w:val="yellow"/>
              </w:rPr>
              <w:t>2. 若为销售代理商须提供代理资质证明。</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color w:val="000000"/>
                <w:kern w:val="0"/>
                <w:szCs w:val="21"/>
                <w:highlight w:val="yellow"/>
              </w:rPr>
            </w:pPr>
            <w:r>
              <w:rPr>
                <w:rFonts w:hint="eastAsia" w:ascii="宋体" w:hAnsi="宋体"/>
                <w:szCs w:val="21"/>
                <w:highlight w:val="yellow"/>
              </w:rPr>
              <w:t>3</w:t>
            </w:r>
            <w:r>
              <w:rPr>
                <w:rFonts w:hint="eastAsia" w:ascii="宋体" w:hAnsi="宋体"/>
                <w:color w:val="000000"/>
                <w:kern w:val="0"/>
                <w:szCs w:val="21"/>
                <w:highlight w:val="yellow"/>
              </w:rPr>
              <w:t>非法定代表人报名投标的还须提供法定代表人授权委托书以及委托代理人身份证复印件境外企业需提供类似证明材料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4.质保期不小于1年</w:t>
            </w:r>
          </w:p>
        </w:tc>
        <w:tc>
          <w:tcPr>
            <w:tcW w:w="834" w:type="dxa"/>
            <w:vAlign w:val="center"/>
          </w:tcPr>
          <w:p>
            <w:pPr>
              <w:jc w:val="center"/>
              <w:rPr>
                <w:rFonts w:hint="default" w:ascii="宋体" w:hAnsi="宋体" w:eastAsia="宋体"/>
                <w:szCs w:val="21"/>
                <w:highlight w:val="yellow"/>
                <w:lang w:val="en-US" w:eastAsia="zh-CN"/>
              </w:rPr>
            </w:pPr>
            <w:r>
              <w:rPr>
                <w:rFonts w:hint="eastAsia" w:ascii="宋体" w:hAnsi="宋体"/>
                <w:szCs w:val="21"/>
                <w:highlight w:val="yellow"/>
                <w:lang w:val="en-US" w:eastAsia="zh-CN"/>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5.供货周期</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5</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5</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技术服务部分（40分）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hint="eastAsia" w:ascii="宋体" w:hAnsi="宋体"/>
                <w:szCs w:val="21"/>
                <w:highlight w:val="yellow"/>
              </w:rPr>
              <w:t>40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满足每一条技术参数得满分40分，每偏离一条扣三分，扣完为止。如果偏离任何加星条款，直接否决该投标。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435523644"/>
      <w:bookmarkStart w:id="60" w:name="_Toc421826405"/>
      <w:bookmarkStart w:id="61" w:name="_Toc5887"/>
      <w:bookmarkStart w:id="62" w:name="_Toc22830"/>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3" w:name="_Toc435523645"/>
      <w:bookmarkStart w:id="64" w:name="_Toc421826406"/>
      <w:bookmarkStart w:id="65" w:name="_Toc5210"/>
      <w:bookmarkStart w:id="66" w:name="_Toc31182"/>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435523646"/>
      <w:bookmarkStart w:id="68" w:name="_Toc421826407"/>
      <w:bookmarkStart w:id="69" w:name="_Toc2593"/>
      <w:bookmarkStart w:id="70" w:name="_Toc14491"/>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29340"/>
      <w:bookmarkStart w:id="72" w:name="_Toc421826408"/>
      <w:bookmarkStart w:id="73" w:name="_Toc4999"/>
      <w:bookmarkStart w:id="74" w:name="_Toc435523647"/>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hint="eastAsia" w:ascii="宋体" w:hAnsi="宋体"/>
          <w:color w:val="FF0000"/>
          <w:sz w:val="30"/>
          <w:szCs w:val="30"/>
          <w:u w:val="single"/>
        </w:rPr>
        <w:t>9</w:t>
      </w:r>
      <w:r>
        <w:rPr>
          <w:rFonts w:ascii="宋体" w:hAnsi="宋体"/>
          <w:color w:val="FF0000"/>
          <w:sz w:val="30"/>
          <w:szCs w:val="30"/>
          <w:u w:val="single"/>
        </w:rPr>
        <w:t>2</w:t>
      </w:r>
      <w:r>
        <w:rPr>
          <w:rFonts w:hint="eastAsia" w:ascii="宋体" w:hAnsi="宋体"/>
          <w:szCs w:val="21"/>
        </w:rPr>
        <w:t>万元，超过该价格上限将导致投标无效。</w:t>
      </w:r>
    </w:p>
    <w:p>
      <w:pPr>
        <w:pStyle w:val="2"/>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2"/>
        <w:tabs>
          <w:tab w:val="left" w:pos="0"/>
        </w:tabs>
        <w:spacing w:before="156" w:after="156"/>
        <w:rPr>
          <w:rFonts w:ascii="Times New Roman" w:hAnsi="Times New Roman"/>
          <w:sz w:val="24"/>
          <w:szCs w:val="24"/>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1" w:name="_Toc15520"/>
      <w:bookmarkStart w:id="82" w:name="_Toc24838"/>
      <w:bookmarkStart w:id="83" w:name="_Toc435523662"/>
      <w:r>
        <w:rPr>
          <w:rFonts w:hint="eastAsia" w:hAnsi="宋体"/>
        </w:rPr>
        <w:t xml:space="preserve">集装箱式望远镜舱    </w:t>
      </w:r>
    </w:p>
    <w:p>
      <w:pPr>
        <w:pStyle w:val="107"/>
        <w:tabs>
          <w:tab w:val="left" w:pos="0"/>
        </w:tabs>
        <w:jc w:val="both"/>
      </w:pPr>
      <w:r>
        <w:rPr>
          <w:rFonts w:hint="eastAsia" w:hAnsi="宋体"/>
        </w:rPr>
        <w:t>数量：四套</w:t>
      </w:r>
    </w:p>
    <w:p>
      <w:pPr>
        <w:pStyle w:val="2"/>
        <w:spacing w:before="100" w:after="100"/>
        <w:rPr>
          <w:rFonts w:hint="eastAsia"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*尺寸符合10英尺集装箱的整体公路运输要求；</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望远镜舱的上半部分为一对开顶；</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顶内定制望远镜基座，可安装一台天文望远镜；</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在顶关闭的情况下，可满足望远镜回转直径≤2米；</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箱体采用集装箱板焊接而成，对开顶采用型材焊接而成，外部有蒙板；</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*望远镜舱开启后可满足望远镜观测角度1</w:t>
      </w:r>
      <w:r>
        <w:rPr>
          <w:rFonts w:ascii="宋体" w:hAnsi="宋体"/>
          <w:color w:val="000000"/>
          <w:sz w:val="24"/>
          <w:szCs w:val="24"/>
        </w:rPr>
        <w:t>5</w:t>
      </w:r>
      <w:r>
        <w:rPr>
          <w:rFonts w:hint="eastAsia" w:ascii="宋体" w:hAnsi="宋体"/>
          <w:color w:val="000000"/>
          <w:sz w:val="24"/>
          <w:szCs w:val="24"/>
        </w:rPr>
        <w:t>度以上不遮挡；</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对开顶可在六级以下风情况下正常启闭，顶关闭时十二级以下风情况下不被破坏；</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对开顶电动启闭，采用电瓶供电；</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对开顶启闭时间≤5分钟；</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*配置简易吊装设备，用于望远镜舱及舱内望远镜的现场起吊；</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使用环境：环境温度-30ºC～30ºC；相对湿度20%～100%，海拔0～4000米。</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1付款方式：签订合同预付50%，收到到货通知付40%，验收合格后付10%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5</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11974"/>
      <w:bookmarkStart w:id="85" w:name="_Toc435523663"/>
      <w:bookmarkStart w:id="86" w:name="_Toc16837"/>
      <w:bookmarkStart w:id="87" w:name="_Toc408923619"/>
      <w:bookmarkStart w:id="88" w:name="_Toc86202633"/>
      <w:bookmarkStart w:id="89" w:name="_Toc174185202"/>
      <w:bookmarkStart w:id="90" w:name="_Toc180051036"/>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17887"/>
      <w:bookmarkStart w:id="92" w:name="_Toc180051037"/>
      <w:bookmarkStart w:id="93" w:name="_Toc174185203"/>
      <w:bookmarkStart w:id="94" w:name="_Toc435523664"/>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5</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1779"/>
      <w:bookmarkStart w:id="96" w:name="_Toc223405606"/>
      <w:bookmarkStart w:id="97" w:name="_Toc435523665"/>
      <w:bookmarkStart w:id="98" w:name="_Toc29401"/>
      <w:r>
        <w:rPr>
          <w:rFonts w:hint="eastAsia" w:ascii="宋体" w:hAnsi="宋体"/>
          <w:sz w:val="21"/>
          <w:szCs w:val="21"/>
        </w:rPr>
        <w:t>附件二、竞争性谈判响应函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6</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9" w:name="_Toc223405607"/>
    </w:p>
    <w:p/>
    <w:p/>
    <w:p/>
    <w:p/>
    <w:p/>
    <w:p/>
    <w:p/>
    <w:p/>
    <w:p/>
    <w:p>
      <w:pPr>
        <w:pStyle w:val="4"/>
        <w:rPr>
          <w:rFonts w:ascii="宋体" w:hAnsi="宋体"/>
          <w:sz w:val="21"/>
          <w:szCs w:val="21"/>
        </w:rPr>
      </w:pPr>
      <w:bookmarkStart w:id="100" w:name="_Toc435523666"/>
      <w:bookmarkStart w:id="101" w:name="_Toc23115"/>
      <w:r>
        <w:rPr>
          <w:rFonts w:hint="eastAsia" w:ascii="宋体" w:hAnsi="宋体"/>
          <w:sz w:val="21"/>
          <w:szCs w:val="21"/>
        </w:rPr>
        <w:t>附件三、报价一览表</w:t>
      </w:r>
      <w:bookmarkEnd w:id="99"/>
      <w:bookmarkEnd w:id="100"/>
      <w:bookmarkEnd w:id="101"/>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2" w:name="_Toc223405608"/>
      <w:bookmarkStart w:id="103" w:name="_Toc435523667"/>
      <w:bookmarkStart w:id="104" w:name="_Toc24441"/>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Ind w:w="0" w:type="dxa"/>
        <w:tblLayout w:type="fixed"/>
        <w:tblCellMar>
          <w:top w:w="0" w:type="dxa"/>
          <w:left w:w="108" w:type="dxa"/>
          <w:bottom w:w="0" w:type="dxa"/>
          <w:right w:w="108" w:type="dxa"/>
        </w:tblCellMar>
      </w:tblPr>
      <w:tblGrid>
        <w:gridCol w:w="900"/>
        <w:gridCol w:w="2791"/>
        <w:gridCol w:w="2361"/>
        <w:gridCol w:w="1907"/>
      </w:tblGrid>
      <w:tr>
        <w:tblPrEx>
          <w:tblLayout w:type="fixed"/>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Layout w:type="fixed"/>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Layout w:type="fixed"/>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p/>
    <w:p/>
    <w:p/>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18438"/>
      <w:bookmarkStart w:id="109" w:name="_Toc223405610"/>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17128"/>
      <w:bookmarkStart w:id="120" w:name="_Toc435523673"/>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7" w:name="_Toc20524"/>
      <w:r>
        <w:rPr>
          <w:rFonts w:hint="eastAsia" w:ascii="宋体" w:hAnsi="宋体"/>
          <w:szCs w:val="21"/>
        </w:rPr>
        <w:t>日期：    年     月     日</w:t>
      </w:r>
      <w:bookmarkEnd w:id="127"/>
    </w:p>
    <w:p/>
    <w:p/>
    <w:p/>
    <w:p/>
    <w:p/>
    <w:p/>
    <w:p/>
    <w:p/>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w:pict>
          <v:rect id="文本框 2" o:spid="_x0000_s1027" o:spt="1" style="position:absolute;left:0pt;margin-left:0pt;margin-top:54.6pt;height:561.6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1uOQIAAEoEAAAOAAAAZHJzL2Uyb0RvYy54bWysVM1uEzEQviPxDpbvdH+a0LLKpqpaipAK&#10;VCo8wMTrzVp4bTN2sikPAG/AiQt3nivPwdibpilIHBA5WJ6d8edvvm+c2dmm12wt0Stral4c5ZxJ&#10;I2yjzLLmH95fPTvlzAcwDWhrZM3vpOdn86dPZoOrZGk7qxuJjECMrwZX8y4EV2WZF53swR9ZJw0l&#10;W4s9BApxmTUIA6H3Oivz/Hk2WGwcWiG9p6+XY5LPE37bShHeta2XgemaE7eQVkzrIq7ZfAbVEsF1&#10;SuxowD+w6EEZunQPdQkB2ArVH1C9Emi9bcORsH1m21YJmXqgbor8t25uO3Ay9ULieLeXyf8/WPF2&#10;fYNMNeRdyZmBnjzafvu6/f5z++MLK6M+g/MVld26G4wdendtxUfPjL3owCzlOaIdOgkNsSpiffbo&#10;QAw8HWWL4Y1tCB1WwSapNi32EZBEYJvkyN3eEbkJTNDH6UkxzXMyTlDupDguj8vkWQbV/XGHPryS&#10;tmdxU3MkyxM8rK99iHSgui9J9K1WzZXSOgW4XFxoZGug8bhKv9QBdXlYpg0bal5OJ8Tk7xjENdId&#10;r32E0atAg65VX/PTfRFUUbiXpqEDUAVQetwTZ212SkbxRhPCZrGhwqjowjZ3pCnacaDpAdKms/iZ&#10;s4GGueb+0wpQcqZfG/LlRTGZxOlPwWR6QiIyPMwsDjNgBEHVPHA2bi/C+GJWDtWyo5uKJIOx5+Rl&#10;q5LKD6x2vGlgk/i7xxVfxGGcqh7+Aua/AAAA//8DAFBLAwQUAAYACAAAACEAYltyuuEAAAAOAQAA&#10;DwAAAGRycy9kb3ducmV2LnhtbEyPzU7DMBCE70i8g7VI3KhN+GvTOBUCIQ5VJShw38YmiYjXwXZa&#10;w9OznOCy0n6jnZ2pVtkNYm9D7D1pOJ8pEJYab3pqNby+PJzNQcSEZHDwZDV82Qir+viowtL4Az3b&#10;/Ta1gk0olqihS2kspYxNZx3GmR8tsfbug8PEa2ilCXhgczfIQqlr6bAn/tDhaO8623xsJ6dh3FxN&#10;jzef6/D9Np+eGlxnn4qs9elJvl/yuF2CSDanvwv47cD5oeZgOz+RiWLQwG0SU7UoQLC8UIrJjklx&#10;UVyCrCv5v0b9AwAA//8DAFBLAQItABQABgAIAAAAIQC2gziS/gAAAOEBAAATAAAAAAAAAAAAAAAA&#10;AAAAAABbQ29udGVudF9UeXBlc10ueG1sUEsBAi0AFAAGAAgAAAAhADj9If/WAAAAlAEAAAsAAAAA&#10;AAAAAAAAAAAALwEAAF9yZWxzLy5yZWxzUEsBAi0AFAAGAAgAAAAhALYmzW45AgAASgQAAA4AAAAA&#10;AAAAAAAAAAAALgIAAGRycy9lMm9Eb2MueG1sUEsBAi0AFAAGAAgAAAAhAGJbcrrhAAAADgEAAA8A&#10;AAAAAAAAAAAAAAAAkwQAAGRycy9kb3ducmV2LnhtbFBLBQYAAAAABAAEAPMAAAChBQAAAAA=&#10;">
            <v:path/>
            <v:fill focussize="0,0"/>
            <v:stroke weight="2pt"/>
            <v:imagedata o:title=""/>
            <o:lock v:ext="edit"/>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435523678"/>
      <w:bookmarkStart w:id="130" w:name="_Toc1962"/>
      <w:bookmarkStart w:id="131" w:name="_Toc225046252"/>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w:pict>
          <v:rect id="文本框 3" o:spid="_x0000_s1026" o:spt="1" style="position:absolute;left:0pt;margin-left:-37.5pt;margin-top:78.05pt;height:157.55pt;width:70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HFOAIAAFAEAAAOAAAAZHJzL2Uyb0RvYy54bWysVMGO0zAQvSPxD5bvNElpoY2arlZdipAW&#10;WGnhAxzHSSwc24zdpuUD2D/gxIU739XvYOx0u13ghMjB8njGzzPvzWRxsesU2Qpw0uiCZqOUEqG5&#10;qaRuCvrxw/rZjBLnma6YMloUdC8cvVg+fbLobS7GpjWqEkAQRLu8twVtvbd5kjjeio65kbFCo7M2&#10;0DGPJjRJBaxH9E4l4zR9kfQGKguGC+fw9Gpw0mXEr2vB/fu6dsITVVDMzccV4lqGNVkuWN4As63k&#10;xzTYP2TRManx0RPUFfOMbED+AdVJDsaZ2o+46RJT15KLWANWk6W/VXPbMitiLUiOsyea3P+D5e+2&#10;N0BkhdpllGjWoUaHb3eH7z8PP76S54Gf3rocw27tDYQKnb02/JMj2qxaphtxCWD6VrAKs8pCfPLo&#10;QjAcXiVl/9ZUiM423kSqdjV0ARBJILuoyP6kiNh5wvFwNs+mkxSF4+hDvdPZbBrfYPn9dQvOvxam&#10;I2FTUEDJIzzbXjsf0mH5fUhM3yhZraVS0YCmXCkgW4btsY7fEd2dhylN+oLOp+NpRH7kc+cQmCB+&#10;f4PopMc+V7LDmk5BLA+8vdJV7ELPpBr2mLLSRyIDd4MGflfuBqXCA4HX0lR7ZBbM0NY4hrhpDXyh&#10;pMeWLqj7vGEgKFFvNKozzyaTMAPRmExfjtGAc0957mGaI1RBPSXDduWHudlYkE2LL2WRDW0uUdFa&#10;Rq4fsjqmj20bJTiOWJiLcztGPfwIlr8AAAD//wMAUEsDBBQABgAIAAAAIQBBVR+p5QAAABEBAAAP&#10;AAAAZHJzL2Rvd25yZXYueG1sTI9Pb4MwDMXvk/YdIk/arQ3Q9R8lVNOqTtqxpZfdDLjARhJEQsv2&#10;6eeeuosl+9nP75dsR92KC/WusUZBOA1AkCls2ZhKwSnbT1YgnEdTYmsNKfghB9v08SHBuLRXc6DL&#10;0VeCTYyLUUHtfRdL6YqaNLqp7ciwdra9Rs9tX8myxyub61ZGQbCQGhvDH2rs6K2m4vs4aAV5E53w&#10;95C9B3q9n/mPMfsaPndKPT+Nuw2X1w0IT6O/X8CNgfNDysFyO5jSiVbBZDlnIM/CfBGCuG3MojWP&#10;cgUvyzACmSbyP0n6BwAA//8DAFBLAQItABQABgAIAAAAIQC2gziS/gAAAOEBAAATAAAAAAAAAAAA&#10;AAAAAAAAAABbQ29udGVudF9UeXBlc10ueG1sUEsBAi0AFAAGAAgAAAAhADj9If/WAAAAlAEAAAsA&#10;AAAAAAAAAAAAAAAALwEAAF9yZWxzLy5yZWxzUEsBAi0AFAAGAAgAAAAhAFiVAcU4AgAAUAQAAA4A&#10;AAAAAAAAAAAAAAAALgIAAGRycy9lMm9Eb2MueG1sUEsBAi0AFAAGAAgAAAAhAEFVH6nlAAAAEQEA&#10;AA8AAAAAAAAAAAAAAAAAkgQAAGRycy9kb3ducmV2LnhtbFBLBQYAAAAABAAEAPMAAACkBQAAAAA=&#10;">
            <v:path/>
            <v:fill focussize="0,0"/>
            <v:stroke/>
            <v:imagedata o:title=""/>
            <o:lock v:ext="edit"/>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B0604020202020204"/>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STZhongsong">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KaiTi_GB2312">
    <w:altName w:val="微软雅黑"/>
    <w:panose1 w:val="020B0604020202020204"/>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9F0DE1"/>
    <w:multiLevelType w:val="multilevel"/>
    <w:tmpl w:val="559F0DE1"/>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rsids>
    <w:rsidRoot w:val="00172A27"/>
    <w:rsid w:val="00013B36"/>
    <w:rsid w:val="00020AD9"/>
    <w:rsid w:val="00021304"/>
    <w:rsid w:val="000241CB"/>
    <w:rsid w:val="00025199"/>
    <w:rsid w:val="00026F0C"/>
    <w:rsid w:val="00033353"/>
    <w:rsid w:val="000337A5"/>
    <w:rsid w:val="00041C2D"/>
    <w:rsid w:val="000551A2"/>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6B53"/>
    <w:rsid w:val="001C69EC"/>
    <w:rsid w:val="001E29FB"/>
    <w:rsid w:val="001F08D6"/>
    <w:rsid w:val="001F756C"/>
    <w:rsid w:val="0022386D"/>
    <w:rsid w:val="00232A73"/>
    <w:rsid w:val="00232FA0"/>
    <w:rsid w:val="00245B91"/>
    <w:rsid w:val="00253FEA"/>
    <w:rsid w:val="0028492A"/>
    <w:rsid w:val="0029441A"/>
    <w:rsid w:val="002B062D"/>
    <w:rsid w:val="002B6F65"/>
    <w:rsid w:val="002B77AA"/>
    <w:rsid w:val="002C66F7"/>
    <w:rsid w:val="002C6B99"/>
    <w:rsid w:val="002D5D09"/>
    <w:rsid w:val="002E4711"/>
    <w:rsid w:val="002E6FE4"/>
    <w:rsid w:val="002F1C2F"/>
    <w:rsid w:val="002F3F55"/>
    <w:rsid w:val="003121D2"/>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C7"/>
    <w:rsid w:val="00437A4C"/>
    <w:rsid w:val="00441C6C"/>
    <w:rsid w:val="004665EA"/>
    <w:rsid w:val="00470DDE"/>
    <w:rsid w:val="004770D9"/>
    <w:rsid w:val="004B62CE"/>
    <w:rsid w:val="004C3813"/>
    <w:rsid w:val="004C475E"/>
    <w:rsid w:val="004D218A"/>
    <w:rsid w:val="004E1FAC"/>
    <w:rsid w:val="004F26AD"/>
    <w:rsid w:val="00510F32"/>
    <w:rsid w:val="00524A7C"/>
    <w:rsid w:val="00532BC5"/>
    <w:rsid w:val="00541788"/>
    <w:rsid w:val="00551213"/>
    <w:rsid w:val="00557F57"/>
    <w:rsid w:val="00563319"/>
    <w:rsid w:val="00566F2B"/>
    <w:rsid w:val="005843CD"/>
    <w:rsid w:val="00590BB3"/>
    <w:rsid w:val="005B6849"/>
    <w:rsid w:val="005C0308"/>
    <w:rsid w:val="005E2992"/>
    <w:rsid w:val="005F12BB"/>
    <w:rsid w:val="00611D65"/>
    <w:rsid w:val="00635AF2"/>
    <w:rsid w:val="006400F4"/>
    <w:rsid w:val="0065732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F413F"/>
    <w:rsid w:val="007F635C"/>
    <w:rsid w:val="0080502D"/>
    <w:rsid w:val="00850C69"/>
    <w:rsid w:val="00857E78"/>
    <w:rsid w:val="0088097E"/>
    <w:rsid w:val="008A00A4"/>
    <w:rsid w:val="008A36E9"/>
    <w:rsid w:val="008B57A8"/>
    <w:rsid w:val="008D0D8B"/>
    <w:rsid w:val="008E67A3"/>
    <w:rsid w:val="00905000"/>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71951"/>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D3FEC"/>
    <w:rsid w:val="00CE1F8B"/>
    <w:rsid w:val="00CE324F"/>
    <w:rsid w:val="00CF1346"/>
    <w:rsid w:val="00D05F00"/>
    <w:rsid w:val="00D117DA"/>
    <w:rsid w:val="00D17DC3"/>
    <w:rsid w:val="00D36C5A"/>
    <w:rsid w:val="00D4159C"/>
    <w:rsid w:val="00D4789B"/>
    <w:rsid w:val="00D541A6"/>
    <w:rsid w:val="00D564FB"/>
    <w:rsid w:val="00D61085"/>
    <w:rsid w:val="00D64493"/>
    <w:rsid w:val="00D85310"/>
    <w:rsid w:val="00DA1BE6"/>
    <w:rsid w:val="00DA5C79"/>
    <w:rsid w:val="00DC241D"/>
    <w:rsid w:val="00E01CBF"/>
    <w:rsid w:val="00E269B4"/>
    <w:rsid w:val="00E7588D"/>
    <w:rsid w:val="00E8458B"/>
    <w:rsid w:val="00E86C6E"/>
    <w:rsid w:val="00EB03CD"/>
    <w:rsid w:val="00EC0B1A"/>
    <w:rsid w:val="00EC2C90"/>
    <w:rsid w:val="00ED4864"/>
    <w:rsid w:val="00F009FC"/>
    <w:rsid w:val="00F1030D"/>
    <w:rsid w:val="00F12547"/>
    <w:rsid w:val="00F14160"/>
    <w:rsid w:val="00F2226C"/>
    <w:rsid w:val="00F270BB"/>
    <w:rsid w:val="00F33BEE"/>
    <w:rsid w:val="00F636A1"/>
    <w:rsid w:val="00F86021"/>
    <w:rsid w:val="00F94BD0"/>
    <w:rsid w:val="00FE6A2F"/>
    <w:rsid w:val="1F7E17A5"/>
    <w:rsid w:val="24301557"/>
    <w:rsid w:val="64EC1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uiPriority w:val="0"/>
    <w:pPr>
      <w:ind w:left="1260" w:leftChars="600"/>
    </w:pPr>
  </w:style>
  <w:style w:type="paragraph" w:styleId="23">
    <w:name w:val="toc 6"/>
    <w:basedOn w:val="1"/>
    <w:next w:val="1"/>
    <w:uiPriority w:val="0"/>
    <w:pPr>
      <w:ind w:left="2100" w:leftChars="1000"/>
    </w:pPr>
  </w:style>
  <w:style w:type="paragraph" w:styleId="24">
    <w:name w:val="toc 2"/>
    <w:basedOn w:val="1"/>
    <w:next w:val="1"/>
    <w:uiPriority w:val="0"/>
    <w:pPr>
      <w:ind w:left="420" w:leftChars="200"/>
    </w:pPr>
  </w:style>
  <w:style w:type="paragraph" w:styleId="25">
    <w:name w:val="toc 9"/>
    <w:basedOn w:val="1"/>
    <w:next w:val="1"/>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qFormat/>
    <w:uiPriority w:val="0"/>
    <w:rPr>
      <w:b/>
      <w:bCs/>
    </w:rPr>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semiHidden/>
    <w:unhideWhenUsed/>
    <w:uiPriority w:val="99"/>
    <w:rPr>
      <w:sz w:val="21"/>
      <w:szCs w:val="21"/>
    </w:rPr>
  </w:style>
  <w:style w:type="character" w:customStyle="1" w:styleId="34">
    <w:name w:val="页码1"/>
    <w:basedOn w:val="29"/>
    <w:qFormat/>
    <w:uiPriority w:val="0"/>
  </w:style>
  <w:style w:type="character" w:customStyle="1" w:styleId="35">
    <w:name w:val="正文文本 2 Char"/>
    <w:link w:val="36"/>
    <w:qFormat/>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qFormat/>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Heading 3 Char"/>
    <w:link w:val="4"/>
    <w:qFormat/>
    <w:uiPriority w:val="0"/>
    <w:rPr>
      <w:rFonts w:ascii="Times New Roman" w:hAnsi="Times New Roman" w:eastAsia="宋体"/>
      <w:b/>
      <w:bCs/>
      <w:sz w:val="24"/>
      <w:szCs w:val="32"/>
    </w:rPr>
  </w:style>
  <w:style w:type="character" w:customStyle="1" w:styleId="43">
    <w:name w:val="Header Char"/>
    <w:link w:val="20"/>
    <w:qFormat/>
    <w:uiPriority w:val="0"/>
    <w:rPr>
      <w:kern w:val="2"/>
      <w:sz w:val="18"/>
      <w:szCs w:val="18"/>
    </w:rPr>
  </w:style>
  <w:style w:type="character" w:customStyle="1" w:styleId="44">
    <w:name w:val="Heading 2 Char"/>
    <w:link w:val="3"/>
    <w:qFormat/>
    <w:uiPriority w:val="0"/>
    <w:rPr>
      <w:rFonts w:ascii="Arial" w:hAnsi="Arial" w:eastAsia="宋体"/>
      <w:b/>
      <w:bCs/>
      <w:sz w:val="24"/>
      <w:szCs w:val="32"/>
    </w:rPr>
  </w:style>
  <w:style w:type="character" w:customStyle="1" w:styleId="45">
    <w:name w:val="Footer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uiPriority w:val="0"/>
    <w:pPr>
      <w:adjustRightInd w:val="0"/>
      <w:textAlignment w:val="baseline"/>
    </w:pPr>
    <w:rPr>
      <w:rFonts w:ascii="宋体" w:hAnsi="宋体" w:cs="宋体"/>
      <w:kern w:val="0"/>
    </w:rPr>
  </w:style>
  <w:style w:type="paragraph" w:customStyle="1" w:styleId="71">
    <w:name w:val="Char4"/>
    <w:basedOn w:val="61"/>
    <w:uiPriority w:val="0"/>
  </w:style>
  <w:style w:type="paragraph" w:customStyle="1" w:styleId="72">
    <w:name w:val="列表 21"/>
    <w:basedOn w:val="1"/>
    <w:uiPriority w:val="0"/>
    <w:pPr>
      <w:ind w:left="100" w:hanging="200"/>
    </w:pPr>
  </w:style>
  <w:style w:type="paragraph" w:customStyle="1" w:styleId="73">
    <w:name w:val="PMletterTextBullet"/>
    <w:basedOn w:val="74"/>
    <w:uiPriority w:val="0"/>
    <w:pPr>
      <w:tabs>
        <w:tab w:val="left" w:pos="1800"/>
      </w:tabs>
      <w:ind w:left="1800" w:hanging="360"/>
    </w:pPr>
  </w:style>
  <w:style w:type="paragraph" w:customStyle="1" w:styleId="74">
    <w:name w:val="PMletterText"/>
    <w:basedOn w:val="75"/>
    <w:uiPriority w:val="0"/>
    <w:pPr>
      <w:spacing w:before="240"/>
      <w:ind w:left="720"/>
    </w:pPr>
  </w:style>
  <w:style w:type="paragraph" w:customStyle="1" w:styleId="75">
    <w:name w:val="PMstyle"/>
    <w:uiPriority w:val="0"/>
    <w:rPr>
      <w:rFonts w:ascii="Tahoma" w:hAnsi="Tahoma" w:eastAsia="宋体" w:cs="Times New Roman"/>
      <w:sz w:val="22"/>
      <w:lang w:val="en-US" w:eastAsia="zh-CN" w:bidi="ar-SA"/>
    </w:rPr>
  </w:style>
  <w:style w:type="paragraph" w:customStyle="1" w:styleId="76">
    <w:name w:val="g2"/>
    <w:basedOn w:val="1"/>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uiPriority w:val="0"/>
    <w:pPr>
      <w:adjustRightInd w:val="0"/>
      <w:spacing w:before="240" w:line="400" w:lineRule="exact"/>
      <w:ind w:firstLine="357"/>
      <w:textAlignment w:val="baseline"/>
    </w:pPr>
    <w:rPr>
      <w:sz w:val="28"/>
    </w:rPr>
  </w:style>
  <w:style w:type="paragraph" w:customStyle="1" w:styleId="78">
    <w:name w:val="g11"/>
    <w:basedOn w:val="1"/>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uiPriority w:val="0"/>
    <w:pPr>
      <w:spacing w:line="360" w:lineRule="auto"/>
      <w:ind w:firstLine="426" w:firstLineChars="206"/>
    </w:pPr>
    <w:rPr>
      <w:b/>
      <w:bCs/>
    </w:rPr>
  </w:style>
  <w:style w:type="paragraph" w:customStyle="1" w:styleId="80">
    <w:name w:val="列表接续1"/>
    <w:basedOn w:val="1"/>
    <w:uiPriority w:val="0"/>
    <w:pPr>
      <w:spacing w:after="120"/>
      <w:ind w:left="420"/>
    </w:pPr>
  </w:style>
  <w:style w:type="paragraph" w:customStyle="1" w:styleId="81">
    <w:name w:val="样式 标题 3h3H3sect1.2.3 + 五号 段前: 6 磅 段后: 6 磅 行距: 单倍行距"/>
    <w:basedOn w:val="4"/>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uiPriority w:val="0"/>
    <w:pPr>
      <w:adjustRightInd w:val="0"/>
      <w:spacing w:line="360" w:lineRule="atLeast"/>
      <w:textAlignment w:val="baseline"/>
    </w:pPr>
    <w:rPr>
      <w:kern w:val="0"/>
      <w:sz w:val="28"/>
    </w:rPr>
  </w:style>
  <w:style w:type="paragraph" w:customStyle="1" w:styleId="83">
    <w:name w:val="正文文本缩进 21"/>
    <w:basedOn w:val="1"/>
    <w:uiPriority w:val="0"/>
    <w:pPr>
      <w:spacing w:after="120" w:line="480" w:lineRule="auto"/>
      <w:ind w:left="420" w:leftChars="200"/>
    </w:pPr>
  </w:style>
  <w:style w:type="paragraph" w:customStyle="1" w:styleId="84">
    <w:name w:val="正文文本缩进1"/>
    <w:basedOn w:val="1"/>
    <w:uiPriority w:val="0"/>
    <w:pPr>
      <w:spacing w:before="80" w:after="80"/>
      <w:ind w:left="909" w:leftChars="433"/>
    </w:pPr>
    <w:rPr>
      <w:sz w:val="24"/>
      <w:shd w:val="pct10" w:color="auto" w:fill="FFFFFF"/>
    </w:rPr>
  </w:style>
  <w:style w:type="paragraph" w:customStyle="1" w:styleId="85">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uiPriority w:val="0"/>
    <w:pPr>
      <w:adjustRightInd w:val="0"/>
      <w:jc w:val="left"/>
      <w:textAlignment w:val="baseline"/>
    </w:pPr>
    <w:rPr>
      <w:rFonts w:ascii="宋体" w:hAnsi="宋体" w:cs="宋体"/>
      <w:kern w:val="0"/>
    </w:rPr>
  </w:style>
  <w:style w:type="paragraph" w:customStyle="1" w:styleId="88">
    <w:name w:val="批注主题1"/>
    <w:basedOn w:val="13"/>
    <w:next w:val="13"/>
    <w:uiPriority w:val="0"/>
    <w:rPr>
      <w:b/>
      <w:bCs/>
    </w:rPr>
  </w:style>
  <w:style w:type="paragraph" w:customStyle="1" w:styleId="89">
    <w:name w:val="PMtextBullet"/>
    <w:basedOn w:val="75"/>
    <w:uiPriority w:val="0"/>
    <w:pPr>
      <w:tabs>
        <w:tab w:val="left" w:pos="2520"/>
      </w:tabs>
      <w:spacing w:after="200"/>
      <w:ind w:left="2520" w:hanging="720"/>
    </w:pPr>
  </w:style>
  <w:style w:type="paragraph" w:customStyle="1" w:styleId="90">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uiPriority w:val="0"/>
    <w:pPr>
      <w:adjustRightInd w:val="0"/>
      <w:ind w:left="720" w:hanging="720"/>
      <w:textAlignment w:val="baseline"/>
    </w:pPr>
    <w:rPr>
      <w:b/>
      <w:sz w:val="28"/>
    </w:rPr>
  </w:style>
  <w:style w:type="paragraph" w:customStyle="1" w:styleId="92">
    <w:name w:val="样式1"/>
    <w:basedOn w:val="1"/>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uiPriority w:val="0"/>
    <w:pPr>
      <w:ind w:firstLine="420" w:firstLineChars="200"/>
    </w:pPr>
  </w:style>
  <w:style w:type="paragraph" w:customStyle="1" w:styleId="94">
    <w:name w:val="列出段落11"/>
    <w:basedOn w:val="1"/>
    <w:uiPriority w:val="0"/>
    <w:pPr>
      <w:ind w:firstLine="420" w:firstLineChars="200"/>
    </w:pPr>
  </w:style>
  <w:style w:type="paragraph" w:customStyle="1" w:styleId="95">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uiPriority w:val="0"/>
    <w:rPr>
      <w:rFonts w:ascii="Tahoma" w:hAnsi="Tahoma"/>
      <w:sz w:val="24"/>
    </w:rPr>
  </w:style>
  <w:style w:type="paragraph" w:customStyle="1" w:styleId="97">
    <w:name w:val="样式 样式 标题 4 + 段前: 5 磅 段后: 5 磅 行距: 单倍行距 + 五号"/>
    <w:basedOn w:val="95"/>
    <w:uiPriority w:val="0"/>
    <w:rPr>
      <w:sz w:val="21"/>
    </w:rPr>
  </w:style>
  <w:style w:type="paragraph" w:customStyle="1" w:styleId="98">
    <w:name w:val="Char1"/>
    <w:basedOn w:val="1"/>
    <w:uiPriority w:val="0"/>
    <w:rPr>
      <w:rFonts w:ascii="宋体" w:hAnsi="宋体" w:cs="Courier New"/>
      <w:sz w:val="32"/>
      <w:szCs w:val="32"/>
    </w:rPr>
  </w:style>
  <w:style w:type="paragraph" w:customStyle="1" w:styleId="99">
    <w:name w:val="xl61"/>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List Paragraph Char"/>
    <w:link w:val="104"/>
    <w:qFormat/>
    <w:locked/>
    <w:uiPriority w:val="34"/>
    <w:rPr>
      <w:rFonts w:ascii="Calibri" w:hAnsi="Calibri"/>
      <w:kern w:val="2"/>
      <w:sz w:val="21"/>
      <w:szCs w:val="21"/>
    </w:rPr>
  </w:style>
  <w:style w:type="character" w:customStyle="1" w:styleId="106">
    <w:name w:val="Caption Char"/>
    <w:link w:val="12"/>
    <w:uiPriority w:val="35"/>
    <w:rPr>
      <w:rFonts w:ascii="黑体" w:hAnsi="黑体"/>
      <w:kern w:val="2"/>
    </w:rPr>
  </w:style>
  <w:style w:type="paragraph" w:customStyle="1" w:styleId="107">
    <w:name w:val="0正文首缩2"/>
    <w:basedOn w:val="1"/>
    <w:link w:val="108"/>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uiPriority w:val="0"/>
    <w:rPr>
      <w:color w:val="000000"/>
      <w:sz w:val="24"/>
      <w:szCs w:val="28"/>
    </w:rPr>
  </w:style>
  <w:style w:type="character" w:customStyle="1" w:styleId="109">
    <w:name w:val="Comment Text Char"/>
    <w:link w:val="13"/>
    <w:uiPriority w:val="0"/>
    <w:rPr>
      <w:kern w:val="2"/>
      <w:sz w:val="21"/>
    </w:rPr>
  </w:style>
  <w:style w:type="character" w:customStyle="1" w:styleId="110">
    <w:name w:val="Comment Subject Char"/>
    <w:basedOn w:val="109"/>
    <w:link w:val="26"/>
    <w:uiPriority w:val="0"/>
    <w:rPr>
      <w:kern w:val="2"/>
      <w:sz w:val="21"/>
    </w:rPr>
  </w:style>
  <w:style w:type="paragraph" w:customStyle="1" w:styleId="111">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270C1-33E0-9B4F-9AAD-1B737E074C5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1323</Words>
  <Characters>7547</Characters>
  <Lines>62</Lines>
  <Paragraphs>17</Paragraphs>
  <TotalTime>0</TotalTime>
  <ScaleCrop>false</ScaleCrop>
  <LinksUpToDate>false</LinksUpToDate>
  <CharactersWithSpaces>8853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zaz</dc:creator>
  <cp:lastModifiedBy>dell</cp:lastModifiedBy>
  <cp:lastPrinted>2017-08-17T03:17:00Z</cp:lastPrinted>
  <dcterms:modified xsi:type="dcterms:W3CDTF">2019-10-11T02:02:19Z</dcterms:modified>
  <dc:title>招标书</dc:title>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