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jc w:val="center"/>
        <w:tblCellSpacing w:w="0" w:type="dxa"/>
        <w:tblCellMar>
          <w:left w:w="0" w:type="dxa"/>
          <w:right w:w="0" w:type="dxa"/>
        </w:tblCellMar>
        <w:tblLook w:val="04A0"/>
      </w:tblPr>
      <w:tblGrid>
        <w:gridCol w:w="7891"/>
      </w:tblGrid>
      <w:tr w:rsidR="003A17BD" w:rsidRPr="003A17BD" w:rsidTr="003A17BD">
        <w:trPr>
          <w:trHeight w:val="750"/>
          <w:tblCellSpacing w:w="0" w:type="dxa"/>
          <w:jc w:val="center"/>
        </w:trPr>
        <w:tc>
          <w:tcPr>
            <w:tcW w:w="0" w:type="auto"/>
            <w:vAlign w:val="center"/>
            <w:hideMark/>
          </w:tcPr>
          <w:tbl>
            <w:tblPr>
              <w:tblpPr w:leftFromText="45" w:rightFromText="45" w:vertAnchor="text" w:tblpXSpec="right" w:tblpYSpec="center"/>
              <w:tblW w:w="5000" w:type="pct"/>
              <w:tblCellSpacing w:w="0" w:type="dxa"/>
              <w:tblCellMar>
                <w:left w:w="0" w:type="dxa"/>
                <w:right w:w="0" w:type="dxa"/>
              </w:tblCellMar>
              <w:tblLook w:val="04A0"/>
            </w:tblPr>
            <w:tblGrid>
              <w:gridCol w:w="7616"/>
              <w:gridCol w:w="275"/>
            </w:tblGrid>
            <w:tr w:rsidR="003A17BD" w:rsidRPr="003A17BD">
              <w:trPr>
                <w:trHeight w:val="750"/>
                <w:tblCellSpacing w:w="0" w:type="dxa"/>
              </w:trPr>
              <w:tc>
                <w:tcPr>
                  <w:tcW w:w="0" w:type="auto"/>
                  <w:tcMar>
                    <w:top w:w="109" w:type="dxa"/>
                    <w:left w:w="0" w:type="dxa"/>
                    <w:bottom w:w="0" w:type="dxa"/>
                    <w:right w:w="0" w:type="dxa"/>
                  </w:tcMar>
                  <w:vAlign w:val="center"/>
                  <w:hideMark/>
                </w:tcPr>
                <w:p w:rsidR="003A17BD" w:rsidRPr="003A17BD" w:rsidRDefault="003A17BD" w:rsidP="003A17BD">
                  <w:pPr>
                    <w:widowControl/>
                    <w:spacing w:line="538" w:lineRule="atLeast"/>
                    <w:jc w:val="center"/>
                    <w:rPr>
                      <w:rFonts w:ascii="宋体" w:eastAsia="宋体" w:hAnsi="宋体" w:cs="宋体"/>
                      <w:color w:val="018DE4"/>
                      <w:kern w:val="0"/>
                      <w:sz w:val="30"/>
                      <w:szCs w:val="30"/>
                    </w:rPr>
                  </w:pPr>
                  <w:r>
                    <w:rPr>
                      <w:rFonts w:hint="eastAsia"/>
                      <w:b/>
                      <w:bCs/>
                      <w:color w:val="018DE4"/>
                      <w:sz w:val="30"/>
                      <w:szCs w:val="30"/>
                      <w:shd w:val="clear" w:color="auto" w:fill="FFFFFF"/>
                    </w:rPr>
                    <w:t>关于申</w:t>
                  </w:r>
                  <w:r w:rsidRPr="003A17BD">
                    <w:rPr>
                      <w:rFonts w:ascii="宋体" w:eastAsia="宋体" w:hAnsi="宋体" w:cs="宋体" w:hint="eastAsia"/>
                      <w:b/>
                      <w:bCs/>
                      <w:color w:val="018DE4"/>
                      <w:kern w:val="0"/>
                      <w:sz w:val="30"/>
                      <w:szCs w:val="30"/>
                    </w:rPr>
                    <w:t>报2018年度江苏省科协调研课题的通知</w:t>
                  </w:r>
                </w:p>
                <w:p w:rsidR="003A17BD" w:rsidRPr="003A17BD" w:rsidRDefault="003A17BD" w:rsidP="003A17BD">
                  <w:pPr>
                    <w:widowControl/>
                    <w:spacing w:line="272" w:lineRule="atLeast"/>
                    <w:jc w:val="center"/>
                    <w:outlineLvl w:val="5"/>
                    <w:rPr>
                      <w:rFonts w:ascii="宋体" w:eastAsia="宋体" w:hAnsi="宋体" w:cs="宋体"/>
                      <w:color w:val="000000"/>
                      <w:kern w:val="0"/>
                      <w:sz w:val="19"/>
                      <w:szCs w:val="19"/>
                    </w:rPr>
                  </w:pPr>
                  <w:r w:rsidRPr="003A17BD">
                    <w:rPr>
                      <w:rFonts w:ascii="宋体" w:eastAsia="宋体" w:hAnsi="宋体" w:cs="宋体" w:hint="eastAsia"/>
                      <w:color w:val="000000"/>
                      <w:kern w:val="0"/>
                      <w:sz w:val="19"/>
                      <w:szCs w:val="19"/>
                    </w:rPr>
                    <w:t>苏科协发【2018】62号</w:t>
                  </w:r>
                </w:p>
              </w:tc>
              <w:tc>
                <w:tcPr>
                  <w:tcW w:w="240" w:type="dxa"/>
                  <w:vAlign w:val="bottom"/>
                  <w:hideMark/>
                </w:tcPr>
                <w:p w:rsidR="003A17BD" w:rsidRPr="003A17BD" w:rsidRDefault="003A17BD" w:rsidP="003A17BD">
                  <w:pPr>
                    <w:widowControl/>
                    <w:spacing w:line="293" w:lineRule="atLeast"/>
                    <w:jc w:val="left"/>
                    <w:rPr>
                      <w:rFonts w:ascii="宋体" w:eastAsia="宋体" w:hAnsi="宋体" w:cs="宋体"/>
                      <w:color w:val="3D3D3D"/>
                      <w:kern w:val="0"/>
                      <w:sz w:val="18"/>
                      <w:szCs w:val="18"/>
                    </w:rPr>
                  </w:pPr>
                  <w:r>
                    <w:rPr>
                      <w:rFonts w:ascii="宋体" w:eastAsia="宋体" w:hAnsi="宋体" w:cs="宋体"/>
                      <w:noProof/>
                      <w:color w:val="3D3D3D"/>
                      <w:kern w:val="0"/>
                      <w:sz w:val="18"/>
                      <w:szCs w:val="18"/>
                    </w:rPr>
                    <w:drawing>
                      <wp:inline distT="0" distB="0" distL="0" distR="0">
                        <wp:extent cx="155575" cy="215900"/>
                        <wp:effectExtent l="19050" t="0" r="0" b="0"/>
                        <wp:docPr id="1" name="图片 1" descr="http://www.jskx.org.cn/picture/0/1401061641242193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skx.org.cn/picture/0/1401061641242193604.jpg"/>
                                <pic:cNvPicPr>
                                  <a:picLocks noChangeAspect="1" noChangeArrowheads="1"/>
                                </pic:cNvPicPr>
                              </pic:nvPicPr>
                              <pic:blipFill>
                                <a:blip r:embed="rId4"/>
                                <a:srcRect/>
                                <a:stretch>
                                  <a:fillRect/>
                                </a:stretch>
                              </pic:blipFill>
                              <pic:spPr bwMode="auto">
                                <a:xfrm>
                                  <a:off x="0" y="0"/>
                                  <a:ext cx="155575" cy="215900"/>
                                </a:xfrm>
                                <a:prstGeom prst="rect">
                                  <a:avLst/>
                                </a:prstGeom>
                                <a:noFill/>
                                <a:ln w="9525">
                                  <a:noFill/>
                                  <a:miter lim="800000"/>
                                  <a:headEnd/>
                                  <a:tailEnd/>
                                </a:ln>
                              </pic:spPr>
                            </pic:pic>
                          </a:graphicData>
                        </a:graphic>
                      </wp:inline>
                    </w:drawing>
                  </w:r>
                </w:p>
              </w:tc>
            </w:tr>
          </w:tbl>
          <w:p w:rsidR="003A17BD" w:rsidRPr="003A17BD" w:rsidRDefault="003A17BD" w:rsidP="003A17BD">
            <w:pPr>
              <w:widowControl/>
              <w:spacing w:line="435" w:lineRule="atLeast"/>
              <w:jc w:val="center"/>
              <w:rPr>
                <w:rFonts w:ascii="宋体" w:eastAsia="宋体" w:hAnsi="宋体" w:cs="宋体"/>
                <w:b/>
                <w:bCs/>
                <w:color w:val="3D3D3D"/>
                <w:kern w:val="0"/>
                <w:sz w:val="32"/>
                <w:szCs w:val="32"/>
              </w:rPr>
            </w:pPr>
          </w:p>
        </w:tc>
      </w:tr>
      <w:tr w:rsidR="003A17BD" w:rsidRPr="003A17BD" w:rsidTr="003A17BD">
        <w:trPr>
          <w:tblCellSpacing w:w="0" w:type="dxa"/>
          <w:jc w:val="center"/>
        </w:trPr>
        <w:tc>
          <w:tcPr>
            <w:tcW w:w="0" w:type="auto"/>
            <w:vAlign w:val="center"/>
            <w:hideMark/>
          </w:tcPr>
          <w:tbl>
            <w:tblPr>
              <w:tblW w:w="4500" w:type="pct"/>
              <w:jc w:val="center"/>
              <w:tblCellSpacing w:w="0" w:type="dxa"/>
              <w:tblCellMar>
                <w:left w:w="0" w:type="dxa"/>
                <w:right w:w="0" w:type="dxa"/>
              </w:tblCellMar>
              <w:tblLook w:val="04A0"/>
            </w:tblPr>
            <w:tblGrid>
              <w:gridCol w:w="7102"/>
            </w:tblGrid>
            <w:tr w:rsidR="003A17BD" w:rsidRPr="003A17BD">
              <w:trPr>
                <w:trHeight w:val="390"/>
                <w:tblCellSpacing w:w="0" w:type="dxa"/>
                <w:jc w:val="center"/>
              </w:trPr>
              <w:tc>
                <w:tcPr>
                  <w:tcW w:w="0" w:type="auto"/>
                  <w:noWrap/>
                  <w:vAlign w:val="center"/>
                  <w:hideMark/>
                </w:tcPr>
                <w:p w:rsidR="003A17BD" w:rsidRPr="003A17BD" w:rsidRDefault="003A17BD" w:rsidP="003A17BD">
                  <w:pPr>
                    <w:widowControl/>
                    <w:spacing w:line="293" w:lineRule="atLeast"/>
                    <w:jc w:val="center"/>
                    <w:rPr>
                      <w:rFonts w:ascii="宋体" w:eastAsia="宋体" w:hAnsi="宋体" w:cs="宋体"/>
                      <w:color w:val="3D3D3D"/>
                      <w:kern w:val="0"/>
                      <w:sz w:val="18"/>
                      <w:szCs w:val="18"/>
                    </w:rPr>
                  </w:pPr>
                  <w:r w:rsidRPr="003A17BD">
                    <w:rPr>
                      <w:rFonts w:ascii="宋体" w:eastAsia="宋体" w:hAnsi="宋体" w:cs="宋体" w:hint="eastAsia"/>
                      <w:color w:val="3D3D3D"/>
                      <w:kern w:val="0"/>
                      <w:sz w:val="18"/>
                      <w:szCs w:val="18"/>
                    </w:rPr>
                    <w:t>2018-03-14</w:t>
                  </w:r>
                </w:p>
              </w:tc>
            </w:tr>
          </w:tbl>
          <w:p w:rsidR="003A17BD" w:rsidRPr="003A17BD" w:rsidRDefault="003A17BD" w:rsidP="003A17BD">
            <w:pPr>
              <w:widowControl/>
              <w:spacing w:line="293" w:lineRule="atLeast"/>
              <w:jc w:val="left"/>
              <w:rPr>
                <w:rFonts w:ascii="宋体" w:eastAsia="宋体" w:hAnsi="宋体" w:cs="宋体"/>
                <w:color w:val="3D3D3D"/>
                <w:kern w:val="0"/>
                <w:sz w:val="18"/>
                <w:szCs w:val="18"/>
              </w:rPr>
            </w:pPr>
          </w:p>
        </w:tc>
      </w:tr>
      <w:tr w:rsidR="003A17BD" w:rsidRPr="003A17BD" w:rsidTr="003A17BD">
        <w:trPr>
          <w:tblCellSpacing w:w="0" w:type="dxa"/>
          <w:jc w:val="center"/>
        </w:trPr>
        <w:tc>
          <w:tcPr>
            <w:tcW w:w="0" w:type="auto"/>
            <w:tcMar>
              <w:top w:w="272" w:type="dxa"/>
              <w:left w:w="543" w:type="dxa"/>
              <w:bottom w:w="272" w:type="dxa"/>
              <w:right w:w="543" w:type="dxa"/>
            </w:tcMar>
            <w:vAlign w:val="center"/>
            <w:hideMark/>
          </w:tcPr>
          <w:p w:rsidR="003A17BD" w:rsidRPr="003A17BD" w:rsidRDefault="003A17BD" w:rsidP="003A17BD">
            <w:pPr>
              <w:widowControl/>
              <w:spacing w:after="204" w:line="340" w:lineRule="atLeast"/>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各省级学会、高校科协，</w:t>
            </w:r>
          </w:p>
          <w:p w:rsidR="003A17BD" w:rsidRPr="003A17BD" w:rsidRDefault="003A17BD" w:rsidP="003A17BD">
            <w:pPr>
              <w:widowControl/>
              <w:spacing w:after="204" w:line="340" w:lineRule="atLeast"/>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各设区市、县（市、区）科协：</w:t>
            </w:r>
          </w:p>
          <w:p w:rsidR="003A17BD" w:rsidRPr="003A17BD" w:rsidRDefault="003A17BD" w:rsidP="003A17BD">
            <w:pPr>
              <w:widowControl/>
              <w:spacing w:after="204" w:line="340" w:lineRule="atLeast"/>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    为贯彻落实党的十九大和省委十三届三次全会精神，充分发挥科技创新在全面创新中的引领作用，进一步推动江苏省科协高水平科技创新智库建设，团结和服务广大科技工作者为党委和政府科学决策提供智力支持，省科协在广泛征求各方意见的基础上，形成《2018年度江苏省科协调研课题选题指南》，现予公布并接受公开申报。</w:t>
            </w:r>
          </w:p>
          <w:p w:rsidR="003A17BD" w:rsidRPr="003A17BD" w:rsidRDefault="003A17BD" w:rsidP="003A17BD">
            <w:pPr>
              <w:widowControl/>
              <w:spacing w:after="204" w:line="340" w:lineRule="atLeast"/>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    一、申报资格</w:t>
            </w:r>
          </w:p>
          <w:p w:rsidR="003A17BD" w:rsidRPr="003A17BD" w:rsidRDefault="003A17BD" w:rsidP="003A17BD">
            <w:pPr>
              <w:widowControl/>
              <w:spacing w:after="204" w:line="340" w:lineRule="atLeast"/>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    1. 具有独立法人资格，同时具备完成课题必须的人才条件和物质条件的各级科协组织、高等院校、科研机构、企事业单位和社会团体等。</w:t>
            </w:r>
          </w:p>
          <w:p w:rsidR="003A17BD" w:rsidRPr="003A17BD" w:rsidRDefault="003A17BD" w:rsidP="003A17BD">
            <w:pPr>
              <w:widowControl/>
              <w:spacing w:after="204" w:line="340" w:lineRule="atLeast"/>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    2. 通过省级学会、高校科协和设区市科协申报的，同等条件下优先考虑。</w:t>
            </w:r>
          </w:p>
          <w:p w:rsidR="003A17BD" w:rsidRPr="003A17BD" w:rsidRDefault="003A17BD" w:rsidP="003A17BD">
            <w:pPr>
              <w:widowControl/>
              <w:spacing w:after="204" w:line="340" w:lineRule="atLeast"/>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    3. 申请人所在单位有配套资金资助的，同等条件下优先考虑。</w:t>
            </w:r>
          </w:p>
          <w:p w:rsidR="003A17BD" w:rsidRPr="003A17BD" w:rsidRDefault="003A17BD" w:rsidP="003A17BD">
            <w:pPr>
              <w:widowControl/>
              <w:spacing w:after="204" w:line="340" w:lineRule="atLeast"/>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    4. 承担中国科协、省科协课题未完成任务的有关人员，不得申报本年度课题。</w:t>
            </w:r>
          </w:p>
          <w:p w:rsidR="003A17BD" w:rsidRPr="003A17BD" w:rsidRDefault="003A17BD" w:rsidP="003A17BD">
            <w:pPr>
              <w:widowControl/>
              <w:spacing w:after="204" w:line="340" w:lineRule="atLeast"/>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    5. 不接受个人直接申报。</w:t>
            </w:r>
          </w:p>
          <w:p w:rsidR="003A17BD" w:rsidRPr="003A17BD" w:rsidRDefault="003A17BD" w:rsidP="003A17BD">
            <w:pPr>
              <w:widowControl/>
              <w:spacing w:line="340" w:lineRule="atLeast"/>
              <w:jc w:val="left"/>
              <w:rPr>
                <w:rFonts w:ascii="宋体" w:eastAsia="宋体" w:hAnsi="宋体" w:cs="宋体" w:hint="eastAsia"/>
                <w:color w:val="3D3D3D"/>
                <w:kern w:val="0"/>
                <w:sz w:val="19"/>
                <w:szCs w:val="19"/>
              </w:rPr>
            </w:pPr>
            <w:r w:rsidRPr="003A17BD">
              <w:rPr>
                <w:rFonts w:ascii="宋体" w:eastAsia="宋体" w:hAnsi="宋体" w:cs="宋体" w:hint="eastAsia"/>
                <w:color w:val="00B0F0"/>
                <w:kern w:val="0"/>
                <w:sz w:val="19"/>
                <w:szCs w:val="19"/>
              </w:rPr>
              <w:t>  </w:t>
            </w:r>
            <w:r w:rsidRPr="003A17BD">
              <w:rPr>
                <w:rFonts w:ascii="宋体" w:eastAsia="宋体" w:hAnsi="宋体" w:cs="宋体" w:hint="eastAsia"/>
                <w:color w:val="00B0F0"/>
                <w:kern w:val="0"/>
                <w:sz w:val="19"/>
              </w:rPr>
              <w:t> </w:t>
            </w:r>
            <w:r w:rsidRPr="003A17BD">
              <w:rPr>
                <w:rFonts w:ascii="宋体" w:eastAsia="宋体" w:hAnsi="宋体" w:cs="宋体" w:hint="eastAsia"/>
                <w:color w:val="3D3D3D"/>
                <w:kern w:val="0"/>
                <w:sz w:val="19"/>
                <w:szCs w:val="19"/>
              </w:rPr>
              <w:t>二、申报方式及有关要求</w:t>
            </w:r>
          </w:p>
          <w:p w:rsidR="003A17BD" w:rsidRPr="003A17BD" w:rsidRDefault="003A17BD" w:rsidP="003A17BD">
            <w:pPr>
              <w:widowControl/>
              <w:spacing w:after="204" w:line="340" w:lineRule="atLeast"/>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    1. 申报题目原则上根据《2018年度江苏省科协调研课题选题指南》（见附件）确定，确需另定题目的，须紧紧围绕“两聚一高”，在推进研究我省在长江经济带、一带一路交汇点、高端装备制造等方面地位和作用，跟踪研判科技创新发展趋势，深入研讨科技类社团在服务创新创业、服务区域经济发展中的着力点等方面开展研究，具有较强的研究意义和应用价值。</w:t>
            </w:r>
          </w:p>
          <w:p w:rsidR="003A17BD" w:rsidRPr="003A17BD" w:rsidRDefault="003A17BD" w:rsidP="003A17BD">
            <w:pPr>
              <w:widowControl/>
              <w:spacing w:after="204" w:line="340" w:lineRule="atLeast"/>
              <w:ind w:firstLine="584"/>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2. 省科协调研课题一律实行网上申报。请各申报单位在江苏公众科技网（http://www.jskx.org.cn）登录“江苏科技智库”后进入调研课题申报平台，认真填写《江苏省科协调研课题申报书》，经法定代表人签字确认后，于3月28日前上传电子版申报书（加盖公章的扫描件）。</w:t>
            </w:r>
          </w:p>
          <w:p w:rsidR="003A17BD" w:rsidRPr="003A17BD" w:rsidRDefault="003A17BD" w:rsidP="003A17BD">
            <w:pPr>
              <w:widowControl/>
              <w:spacing w:after="204" w:line="340" w:lineRule="atLeast"/>
              <w:ind w:firstLine="584"/>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三、联系方式</w:t>
            </w:r>
          </w:p>
          <w:p w:rsidR="003A17BD" w:rsidRPr="003A17BD" w:rsidRDefault="003A17BD" w:rsidP="003A17BD">
            <w:pPr>
              <w:widowControl/>
              <w:spacing w:after="204" w:line="340" w:lineRule="atLeast"/>
              <w:ind w:firstLine="584"/>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联 系 人：侯飞 025-83701320、18915969326</w:t>
            </w:r>
          </w:p>
          <w:p w:rsidR="003A17BD" w:rsidRPr="003A17BD" w:rsidRDefault="003A17BD" w:rsidP="003A17BD">
            <w:pPr>
              <w:widowControl/>
              <w:spacing w:line="340" w:lineRule="atLeast"/>
              <w:ind w:firstLine="584"/>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lastRenderedPageBreak/>
              <w:t>电子邮箱：</w:t>
            </w:r>
            <w:hyperlink r:id="rId5" w:history="1">
              <w:r w:rsidRPr="003A17BD">
                <w:rPr>
                  <w:rFonts w:ascii="宋体" w:eastAsia="宋体" w:hAnsi="宋体" w:cs="宋体" w:hint="eastAsia"/>
                  <w:color w:val="000000"/>
                  <w:kern w:val="0"/>
                  <w:sz w:val="19"/>
                </w:rPr>
                <w:t>jskxdxb@163.com</w:t>
              </w:r>
            </w:hyperlink>
          </w:p>
          <w:p w:rsidR="003A17BD" w:rsidRPr="003A17BD" w:rsidRDefault="003A17BD" w:rsidP="003A17BD">
            <w:pPr>
              <w:widowControl/>
              <w:spacing w:after="204" w:line="340" w:lineRule="atLeast"/>
              <w:ind w:firstLine="584"/>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通信地址：南京鼓楼区云南路31-1号苏建大厦602室</w:t>
            </w:r>
          </w:p>
          <w:p w:rsidR="003A17BD" w:rsidRPr="003A17BD" w:rsidRDefault="003A17BD" w:rsidP="003A17BD">
            <w:pPr>
              <w:widowControl/>
              <w:spacing w:after="204" w:line="340" w:lineRule="atLeast"/>
              <w:ind w:firstLine="584"/>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附件：2018年江苏省科协调研课题选题指南</w:t>
            </w:r>
          </w:p>
          <w:p w:rsidR="003A17BD" w:rsidRPr="003A17BD" w:rsidRDefault="003A17BD" w:rsidP="003A17BD">
            <w:pPr>
              <w:widowControl/>
              <w:spacing w:after="204" w:line="340" w:lineRule="atLeast"/>
              <w:ind w:firstLine="4198"/>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 </w:t>
            </w:r>
          </w:p>
          <w:p w:rsidR="003A17BD" w:rsidRPr="003A17BD" w:rsidRDefault="003A17BD" w:rsidP="003A17BD">
            <w:pPr>
              <w:widowControl/>
              <w:spacing w:after="204" w:line="340" w:lineRule="atLeast"/>
              <w:ind w:firstLine="4198"/>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江苏省科学技术协会</w:t>
            </w:r>
          </w:p>
          <w:p w:rsidR="003A17BD" w:rsidRPr="003A17BD" w:rsidRDefault="003A17BD" w:rsidP="003A17BD">
            <w:pPr>
              <w:widowControl/>
              <w:spacing w:after="204" w:line="340" w:lineRule="atLeast"/>
              <w:ind w:firstLine="4198"/>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   2018年3月7日</w:t>
            </w:r>
          </w:p>
          <w:p w:rsidR="003A17BD" w:rsidRPr="003A17BD" w:rsidRDefault="003A17BD" w:rsidP="003A17BD">
            <w:pPr>
              <w:widowControl/>
              <w:spacing w:line="340" w:lineRule="atLeast"/>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br w:type="textWrapping" w:clear="all"/>
            </w:r>
          </w:p>
          <w:p w:rsidR="003A17BD" w:rsidRPr="003A17BD" w:rsidRDefault="003A17BD" w:rsidP="003A17BD">
            <w:pPr>
              <w:widowControl/>
              <w:spacing w:after="204" w:line="340" w:lineRule="atLeast"/>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附件：</w:t>
            </w:r>
          </w:p>
          <w:p w:rsidR="003A17BD" w:rsidRPr="003A17BD" w:rsidRDefault="003A17BD" w:rsidP="003A17BD">
            <w:pPr>
              <w:widowControl/>
              <w:spacing w:after="204" w:line="340" w:lineRule="atLeast"/>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 </w:t>
            </w:r>
          </w:p>
          <w:p w:rsidR="003A17BD" w:rsidRPr="003A17BD" w:rsidRDefault="003A17BD" w:rsidP="003A17BD">
            <w:pPr>
              <w:widowControl/>
              <w:spacing w:after="204" w:line="340" w:lineRule="atLeast"/>
              <w:jc w:val="center"/>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2018年江苏省科协调研课题选题指南</w:t>
            </w:r>
          </w:p>
          <w:p w:rsidR="003A17BD" w:rsidRPr="003A17BD" w:rsidRDefault="003A17BD" w:rsidP="003A17BD">
            <w:pPr>
              <w:widowControl/>
              <w:spacing w:after="204" w:line="340" w:lineRule="atLeast"/>
              <w:jc w:val="center"/>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 </w:t>
            </w:r>
          </w:p>
          <w:p w:rsidR="003A17BD" w:rsidRPr="003A17BD" w:rsidRDefault="003A17BD" w:rsidP="003A17BD">
            <w:pPr>
              <w:widowControl/>
              <w:spacing w:line="340" w:lineRule="atLeast"/>
              <w:ind w:firstLine="584"/>
              <w:jc w:val="left"/>
              <w:rPr>
                <w:rFonts w:ascii="宋体" w:eastAsia="宋体" w:hAnsi="宋体" w:cs="宋体" w:hint="eastAsia"/>
                <w:color w:val="3D3D3D"/>
                <w:kern w:val="0"/>
                <w:sz w:val="19"/>
                <w:szCs w:val="19"/>
              </w:rPr>
            </w:pPr>
            <w:r w:rsidRPr="003A17BD">
              <w:rPr>
                <w:rFonts w:ascii="宋体" w:eastAsia="宋体" w:hAnsi="宋体" w:cs="宋体" w:hint="eastAsia"/>
                <w:b/>
                <w:bCs/>
                <w:color w:val="000000"/>
                <w:kern w:val="0"/>
                <w:sz w:val="19"/>
              </w:rPr>
              <w:t>1. </w:t>
            </w:r>
            <w:r w:rsidRPr="003A17BD">
              <w:rPr>
                <w:rFonts w:ascii="宋体" w:eastAsia="宋体" w:hAnsi="宋体" w:cs="宋体" w:hint="eastAsia"/>
                <w:b/>
                <w:bCs/>
                <w:color w:val="3D3D3D"/>
                <w:kern w:val="0"/>
                <w:sz w:val="19"/>
              </w:rPr>
              <w:t>江苏装备制造业提质增效研究</w:t>
            </w:r>
          </w:p>
          <w:p w:rsidR="003A17BD" w:rsidRPr="003A17BD" w:rsidRDefault="003A17BD" w:rsidP="003A17BD">
            <w:pPr>
              <w:widowControl/>
              <w:spacing w:line="340" w:lineRule="atLeast"/>
              <w:ind w:firstLine="584"/>
              <w:jc w:val="left"/>
              <w:rPr>
                <w:rFonts w:ascii="宋体" w:eastAsia="宋体" w:hAnsi="宋体" w:cs="宋体" w:hint="eastAsia"/>
                <w:color w:val="3D3D3D"/>
                <w:kern w:val="0"/>
                <w:sz w:val="19"/>
                <w:szCs w:val="19"/>
              </w:rPr>
            </w:pPr>
            <w:r w:rsidRPr="003A17BD">
              <w:rPr>
                <w:rFonts w:ascii="宋体" w:eastAsia="宋体" w:hAnsi="宋体" w:cs="宋体" w:hint="eastAsia"/>
                <w:color w:val="000000"/>
                <w:kern w:val="0"/>
                <w:sz w:val="19"/>
                <w:szCs w:val="19"/>
              </w:rPr>
              <w:t>调研江苏发展先进制造业，改造提升传统产业现状，比较国内外相关案例，研究积极推进智能制造，打造一批世界级先进制造业企业集群，推动江苏制造向江苏创造、智造转变、向绿色化方向发展，江苏速度向江苏质量、效益转变的方法、途径与对策建议。推动江苏发挥产业基础雄厚和科技创新能力较强的优势，加快先进制造业和现代服务业融合发展，促进产业迈向全球价值链中高端。</w:t>
            </w:r>
          </w:p>
          <w:p w:rsidR="003A17BD" w:rsidRPr="003A17BD" w:rsidRDefault="003A17BD" w:rsidP="003A17BD">
            <w:pPr>
              <w:widowControl/>
              <w:spacing w:line="340" w:lineRule="atLeast"/>
              <w:ind w:firstLine="584"/>
              <w:jc w:val="left"/>
              <w:rPr>
                <w:rFonts w:ascii="宋体" w:eastAsia="宋体" w:hAnsi="宋体" w:cs="宋体" w:hint="eastAsia"/>
                <w:color w:val="3D3D3D"/>
                <w:kern w:val="0"/>
                <w:sz w:val="19"/>
                <w:szCs w:val="19"/>
              </w:rPr>
            </w:pPr>
            <w:r w:rsidRPr="003A17BD">
              <w:rPr>
                <w:rFonts w:ascii="宋体" w:eastAsia="宋体" w:hAnsi="宋体" w:cs="宋体" w:hint="eastAsia"/>
                <w:b/>
                <w:bCs/>
                <w:color w:val="000000"/>
                <w:kern w:val="0"/>
                <w:sz w:val="19"/>
              </w:rPr>
              <w:t>2. 有效发挥江苏一带一路交汇点作用研究</w:t>
            </w:r>
          </w:p>
          <w:p w:rsidR="003A17BD" w:rsidRPr="003A17BD" w:rsidRDefault="003A17BD" w:rsidP="003A17BD">
            <w:pPr>
              <w:widowControl/>
              <w:spacing w:after="204" w:line="340" w:lineRule="atLeast"/>
              <w:ind w:firstLine="584"/>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系统研究江苏深度融入国家“一带一路”倡议的现状，剖析遇到的问题及原因，探讨我省如何以更加积极主动的行动，充分发挥自身优势，抢抓机遇，集聚各方资源，深度融入国家“一带一路”建设，推动江苏经济发展迈上新台阶，为我国构建全方位开放新格局做出新的贡献。</w:t>
            </w:r>
          </w:p>
          <w:p w:rsidR="003A17BD" w:rsidRPr="003A17BD" w:rsidRDefault="003A17BD" w:rsidP="003A17BD">
            <w:pPr>
              <w:widowControl/>
              <w:spacing w:line="340" w:lineRule="atLeast"/>
              <w:ind w:firstLine="584"/>
              <w:jc w:val="left"/>
              <w:rPr>
                <w:rFonts w:ascii="宋体" w:eastAsia="宋体" w:hAnsi="宋体" w:cs="宋体" w:hint="eastAsia"/>
                <w:color w:val="3D3D3D"/>
                <w:kern w:val="0"/>
                <w:sz w:val="19"/>
                <w:szCs w:val="19"/>
              </w:rPr>
            </w:pPr>
            <w:r w:rsidRPr="003A17BD">
              <w:rPr>
                <w:rFonts w:ascii="宋体" w:eastAsia="宋体" w:hAnsi="宋体" w:cs="宋体" w:hint="eastAsia"/>
                <w:b/>
                <w:bCs/>
                <w:color w:val="3D3D3D"/>
                <w:kern w:val="0"/>
                <w:sz w:val="19"/>
              </w:rPr>
              <w:t>3.江苏加快推进“一中心、一基地”建设路径研究</w:t>
            </w:r>
          </w:p>
          <w:p w:rsidR="003A17BD" w:rsidRPr="003A17BD" w:rsidRDefault="003A17BD" w:rsidP="003A17BD">
            <w:pPr>
              <w:widowControl/>
              <w:spacing w:line="340" w:lineRule="atLeast"/>
              <w:ind w:firstLine="584"/>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对标全球最具影响力的产业科技创新中心和国际最具竞争力的先进制造业基地等发达国家或地区，立足全球视野，树立战略思维，研究分析江苏建设“一中心、一基地”的基础条件、比较优势和发展现状，重点研究</w:t>
            </w:r>
            <w:r w:rsidRPr="003A17BD">
              <w:rPr>
                <w:rFonts w:ascii="宋体" w:eastAsia="宋体" w:hAnsi="宋体" w:cs="宋体" w:hint="eastAsia"/>
                <w:color w:val="000000"/>
                <w:kern w:val="0"/>
                <w:sz w:val="19"/>
                <w:szCs w:val="19"/>
              </w:rPr>
              <w:t>强化产学研合作，加快科技成果转化的有效路径，推动高水平建设“一中心、一基地”</w:t>
            </w:r>
            <w:r w:rsidRPr="003A17BD">
              <w:rPr>
                <w:rFonts w:ascii="宋体" w:eastAsia="宋体" w:hAnsi="宋体" w:cs="宋体" w:hint="eastAsia"/>
                <w:color w:val="3D3D3D"/>
                <w:kern w:val="0"/>
                <w:sz w:val="19"/>
                <w:szCs w:val="19"/>
              </w:rPr>
              <w:t>。</w:t>
            </w:r>
          </w:p>
          <w:p w:rsidR="003A17BD" w:rsidRPr="003A17BD" w:rsidRDefault="003A17BD" w:rsidP="003A17BD">
            <w:pPr>
              <w:widowControl/>
              <w:spacing w:line="340" w:lineRule="atLeast"/>
              <w:ind w:firstLine="584"/>
              <w:jc w:val="left"/>
              <w:rPr>
                <w:rFonts w:ascii="宋体" w:eastAsia="宋体" w:hAnsi="宋体" w:cs="宋体" w:hint="eastAsia"/>
                <w:color w:val="3D3D3D"/>
                <w:kern w:val="0"/>
                <w:sz w:val="19"/>
                <w:szCs w:val="19"/>
              </w:rPr>
            </w:pPr>
            <w:r w:rsidRPr="003A17BD">
              <w:rPr>
                <w:rFonts w:ascii="宋体" w:eastAsia="宋体" w:hAnsi="宋体" w:cs="宋体" w:hint="eastAsia"/>
                <w:b/>
                <w:bCs/>
                <w:color w:val="000000"/>
                <w:kern w:val="0"/>
                <w:sz w:val="19"/>
              </w:rPr>
              <w:t>4. 江苏省双创指数研究</w:t>
            </w:r>
          </w:p>
          <w:p w:rsidR="003A17BD" w:rsidRPr="003A17BD" w:rsidRDefault="003A17BD" w:rsidP="003A17BD">
            <w:pPr>
              <w:widowControl/>
              <w:spacing w:after="204" w:line="340" w:lineRule="atLeast"/>
              <w:ind w:firstLine="584"/>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围绕进一步系统性优化创新创业生态环境，强化政策供给，突破发展瓶颈，充分释放全社会创新创业潜能，在更大范围、更高层次、更深程度上推进“大众创业、万众创新”，建立科学合理的评价指标体系来评价各个地区的创新创业能力，度量和评价我省各地区大众创新创业的发展态势和状况，从而推动各地区创新创业</w:t>
            </w:r>
            <w:r w:rsidRPr="003A17BD">
              <w:rPr>
                <w:rFonts w:ascii="宋体" w:eastAsia="宋体" w:hAnsi="宋体" w:cs="宋体" w:hint="eastAsia"/>
                <w:color w:val="3D3D3D"/>
                <w:kern w:val="0"/>
                <w:sz w:val="19"/>
                <w:szCs w:val="19"/>
              </w:rPr>
              <w:lastRenderedPageBreak/>
              <w:t>活动良性发展。</w:t>
            </w:r>
          </w:p>
          <w:p w:rsidR="003A17BD" w:rsidRPr="003A17BD" w:rsidRDefault="003A17BD" w:rsidP="003A17BD">
            <w:pPr>
              <w:widowControl/>
              <w:spacing w:line="340" w:lineRule="atLeast"/>
              <w:ind w:firstLine="584"/>
              <w:jc w:val="left"/>
              <w:rPr>
                <w:rFonts w:ascii="宋体" w:eastAsia="宋体" w:hAnsi="宋体" w:cs="宋体" w:hint="eastAsia"/>
                <w:color w:val="3D3D3D"/>
                <w:kern w:val="0"/>
                <w:sz w:val="19"/>
                <w:szCs w:val="19"/>
              </w:rPr>
            </w:pPr>
            <w:r w:rsidRPr="003A17BD">
              <w:rPr>
                <w:rFonts w:ascii="宋体" w:eastAsia="宋体" w:hAnsi="宋体" w:cs="宋体" w:hint="eastAsia"/>
                <w:b/>
                <w:bCs/>
                <w:color w:val="000000"/>
                <w:kern w:val="0"/>
                <w:sz w:val="19"/>
              </w:rPr>
              <w:t>5.</w:t>
            </w:r>
            <w:r w:rsidRPr="003A17BD">
              <w:rPr>
                <w:rFonts w:ascii="宋体" w:eastAsia="宋体" w:hAnsi="宋体" w:cs="宋体" w:hint="eastAsia"/>
                <w:b/>
                <w:bCs/>
                <w:color w:val="3D3D3D"/>
                <w:kern w:val="0"/>
                <w:sz w:val="19"/>
              </w:rPr>
              <w:t> </w:t>
            </w:r>
            <w:r w:rsidRPr="003A17BD">
              <w:rPr>
                <w:rFonts w:ascii="宋体" w:eastAsia="宋体" w:hAnsi="宋体" w:cs="宋体" w:hint="eastAsia"/>
                <w:b/>
                <w:bCs/>
                <w:color w:val="000000"/>
                <w:kern w:val="0"/>
                <w:sz w:val="19"/>
              </w:rPr>
              <w:t>大数据模式下江苏社会治理问题研究</w:t>
            </w:r>
          </w:p>
          <w:p w:rsidR="003A17BD" w:rsidRPr="003A17BD" w:rsidRDefault="003A17BD" w:rsidP="003A17BD">
            <w:pPr>
              <w:widowControl/>
              <w:spacing w:after="204" w:line="340" w:lineRule="atLeast"/>
              <w:ind w:firstLine="584"/>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运用大数据技术精准挖掘智库建设、学术交流、科学普及、对外联系、人才服务、创新创业等方面信息资源的潜在价值，围绕科技工作者大数据平台建设及应用、基于防火监督大数据的人工智能应用、地铁路网能效评价指标体系、能源监管平台应用、大数据在制造业转型升级中的应用、基于多源遥感数据的滩涂信息提取及网格化监管、土地利用和管理政策等课题开展研究，探索建立依托大数据分析的社会治理模型，为实现我国治理体系和治理能力现代化建言献策。</w:t>
            </w:r>
          </w:p>
          <w:p w:rsidR="003A17BD" w:rsidRPr="003A17BD" w:rsidRDefault="003A17BD" w:rsidP="003A17BD">
            <w:pPr>
              <w:widowControl/>
              <w:spacing w:line="340" w:lineRule="atLeast"/>
              <w:ind w:firstLine="584"/>
              <w:jc w:val="left"/>
              <w:rPr>
                <w:rFonts w:ascii="宋体" w:eastAsia="宋体" w:hAnsi="宋体" w:cs="宋体" w:hint="eastAsia"/>
                <w:color w:val="3D3D3D"/>
                <w:kern w:val="0"/>
                <w:sz w:val="19"/>
                <w:szCs w:val="19"/>
              </w:rPr>
            </w:pPr>
            <w:r w:rsidRPr="003A17BD">
              <w:rPr>
                <w:rFonts w:ascii="宋体" w:eastAsia="宋体" w:hAnsi="宋体" w:cs="宋体" w:hint="eastAsia"/>
                <w:b/>
                <w:bCs/>
                <w:color w:val="000000"/>
                <w:kern w:val="0"/>
                <w:sz w:val="19"/>
              </w:rPr>
              <w:t>6.加快构建和完善江苏科技创新生态体系研究</w:t>
            </w:r>
          </w:p>
          <w:p w:rsidR="003A17BD" w:rsidRPr="003A17BD" w:rsidRDefault="003A17BD" w:rsidP="003A17BD">
            <w:pPr>
              <w:widowControl/>
              <w:spacing w:line="340" w:lineRule="atLeast"/>
              <w:ind w:firstLine="584"/>
              <w:jc w:val="left"/>
              <w:rPr>
                <w:rFonts w:ascii="宋体" w:eastAsia="宋体" w:hAnsi="宋体" w:cs="宋体" w:hint="eastAsia"/>
                <w:color w:val="3D3D3D"/>
                <w:kern w:val="0"/>
                <w:sz w:val="19"/>
                <w:szCs w:val="19"/>
              </w:rPr>
            </w:pPr>
            <w:r w:rsidRPr="003A17BD">
              <w:rPr>
                <w:rFonts w:ascii="宋体" w:eastAsia="宋体" w:hAnsi="宋体" w:cs="宋体" w:hint="eastAsia"/>
                <w:color w:val="000000"/>
                <w:kern w:val="0"/>
                <w:sz w:val="19"/>
                <w:szCs w:val="19"/>
              </w:rPr>
              <w:t>研究分析江苏创新生态体系现状，比较国内外相关成功案例，探究科技体制改革作为全面深化改革的优先选项和重点领域，破除束缚科技创新的体制机制约束的方法和路径，提出增强企业创新能力、强化科技人员创新动力、激发全社会创业创新活力的对策建议。</w:t>
            </w:r>
          </w:p>
          <w:p w:rsidR="003A17BD" w:rsidRPr="003A17BD" w:rsidRDefault="003A17BD" w:rsidP="003A17BD">
            <w:pPr>
              <w:widowControl/>
              <w:spacing w:line="340" w:lineRule="atLeast"/>
              <w:ind w:firstLine="584"/>
              <w:jc w:val="left"/>
              <w:rPr>
                <w:rFonts w:ascii="宋体" w:eastAsia="宋体" w:hAnsi="宋体" w:cs="宋体" w:hint="eastAsia"/>
                <w:color w:val="3D3D3D"/>
                <w:kern w:val="0"/>
                <w:sz w:val="19"/>
                <w:szCs w:val="19"/>
              </w:rPr>
            </w:pPr>
            <w:r w:rsidRPr="003A17BD">
              <w:rPr>
                <w:rFonts w:ascii="宋体" w:eastAsia="宋体" w:hAnsi="宋体" w:cs="宋体" w:hint="eastAsia"/>
                <w:b/>
                <w:bCs/>
                <w:color w:val="000000"/>
                <w:kern w:val="0"/>
                <w:sz w:val="19"/>
              </w:rPr>
              <w:t>7.科技社团服务长江经济带协同创新发展研究</w:t>
            </w:r>
          </w:p>
          <w:p w:rsidR="003A17BD" w:rsidRPr="003A17BD" w:rsidRDefault="003A17BD" w:rsidP="003A17BD">
            <w:pPr>
              <w:widowControl/>
              <w:spacing w:after="204" w:line="340" w:lineRule="atLeast"/>
              <w:ind w:firstLine="584"/>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调研长江经济带协同创新发展现状，科学分析科协组织在凝聚科技工作者服务长江经济带协同创新发展中的地位和作用，瞄准国家战略和区域经济发展需求，比较国内外区域经济圈发展典型案例，更深层次研究发展规律，为科协组织服务长江经济带产业绿色、协同发展战略的实施提供详实研究报告和成果。</w:t>
            </w:r>
          </w:p>
          <w:p w:rsidR="003A17BD" w:rsidRPr="003A17BD" w:rsidRDefault="003A17BD" w:rsidP="003A17BD">
            <w:pPr>
              <w:widowControl/>
              <w:spacing w:line="340" w:lineRule="atLeast"/>
              <w:ind w:firstLine="584"/>
              <w:jc w:val="left"/>
              <w:rPr>
                <w:rFonts w:ascii="宋体" w:eastAsia="宋体" w:hAnsi="宋体" w:cs="宋体" w:hint="eastAsia"/>
                <w:color w:val="3D3D3D"/>
                <w:kern w:val="0"/>
                <w:sz w:val="19"/>
                <w:szCs w:val="19"/>
              </w:rPr>
            </w:pPr>
            <w:r w:rsidRPr="003A17BD">
              <w:rPr>
                <w:rFonts w:ascii="宋体" w:eastAsia="宋体" w:hAnsi="宋体" w:cs="宋体" w:hint="eastAsia"/>
                <w:b/>
                <w:bCs/>
                <w:color w:val="000000"/>
                <w:kern w:val="0"/>
                <w:sz w:val="19"/>
              </w:rPr>
              <w:t>8.</w:t>
            </w:r>
            <w:r w:rsidRPr="003A17BD">
              <w:rPr>
                <w:rFonts w:ascii="宋体" w:eastAsia="宋体" w:hAnsi="宋体" w:cs="宋体" w:hint="eastAsia"/>
                <w:b/>
                <w:bCs/>
                <w:color w:val="3D3D3D"/>
                <w:kern w:val="0"/>
                <w:sz w:val="19"/>
              </w:rPr>
              <w:t> </w:t>
            </w:r>
            <w:r w:rsidRPr="003A17BD">
              <w:rPr>
                <w:rFonts w:ascii="宋体" w:eastAsia="宋体" w:hAnsi="宋体" w:cs="宋体" w:hint="eastAsia"/>
                <w:b/>
                <w:bCs/>
                <w:color w:val="000000"/>
                <w:kern w:val="0"/>
                <w:sz w:val="19"/>
              </w:rPr>
              <w:t>科技类社团在培育经济发展新动能中的地位和作用研究</w:t>
            </w:r>
          </w:p>
          <w:p w:rsidR="003A17BD" w:rsidRPr="003A17BD" w:rsidRDefault="003A17BD" w:rsidP="003A17BD">
            <w:pPr>
              <w:widowControl/>
              <w:spacing w:line="340" w:lineRule="atLeast"/>
              <w:ind w:firstLine="584"/>
              <w:jc w:val="left"/>
              <w:rPr>
                <w:rFonts w:ascii="宋体" w:eastAsia="宋体" w:hAnsi="宋体" w:cs="宋体" w:hint="eastAsia"/>
                <w:color w:val="3D3D3D"/>
                <w:kern w:val="0"/>
                <w:sz w:val="19"/>
                <w:szCs w:val="19"/>
              </w:rPr>
            </w:pPr>
            <w:r w:rsidRPr="003A17BD">
              <w:rPr>
                <w:rFonts w:ascii="宋体" w:eastAsia="宋体" w:hAnsi="宋体" w:cs="宋体" w:hint="eastAsia"/>
                <w:color w:val="000000"/>
                <w:kern w:val="0"/>
                <w:sz w:val="19"/>
                <w:szCs w:val="19"/>
              </w:rPr>
              <w:t>研判科技类社团集聚科技工作者投身创新创业现状，研究我省在中高端消费、数字经济、人工智能、共享经济、绿色低碳、新金融、人力资本服务等领域培育新增长点情况，分析科技类社团在培育经济发展新动能中发挥作用的着力点并提出针对性建议。</w:t>
            </w:r>
          </w:p>
          <w:p w:rsidR="003A17BD" w:rsidRPr="003A17BD" w:rsidRDefault="003A17BD" w:rsidP="003A17BD">
            <w:pPr>
              <w:widowControl/>
              <w:spacing w:line="340" w:lineRule="atLeast"/>
              <w:ind w:firstLine="584"/>
              <w:jc w:val="left"/>
              <w:rPr>
                <w:rFonts w:ascii="宋体" w:eastAsia="宋体" w:hAnsi="宋体" w:cs="宋体" w:hint="eastAsia"/>
                <w:color w:val="3D3D3D"/>
                <w:kern w:val="0"/>
                <w:sz w:val="19"/>
                <w:szCs w:val="19"/>
              </w:rPr>
            </w:pPr>
            <w:r w:rsidRPr="003A17BD">
              <w:rPr>
                <w:rFonts w:ascii="宋体" w:eastAsia="宋体" w:hAnsi="宋体" w:cs="宋体" w:hint="eastAsia"/>
                <w:b/>
                <w:bCs/>
                <w:color w:val="000000"/>
                <w:kern w:val="0"/>
                <w:sz w:val="19"/>
              </w:rPr>
              <w:t>9.</w:t>
            </w:r>
            <w:r w:rsidRPr="003A17BD">
              <w:rPr>
                <w:rFonts w:ascii="宋体" w:eastAsia="宋体" w:hAnsi="宋体" w:cs="宋体" w:hint="eastAsia"/>
                <w:b/>
                <w:bCs/>
                <w:color w:val="3D3D3D"/>
                <w:kern w:val="0"/>
                <w:sz w:val="19"/>
              </w:rPr>
              <w:t> </w:t>
            </w:r>
            <w:r w:rsidRPr="003A17BD">
              <w:rPr>
                <w:rFonts w:ascii="宋体" w:eastAsia="宋体" w:hAnsi="宋体" w:cs="宋体" w:hint="eastAsia"/>
                <w:b/>
                <w:bCs/>
                <w:color w:val="000000"/>
                <w:kern w:val="0"/>
                <w:sz w:val="19"/>
              </w:rPr>
              <w:t>江苏科协系统智库、学术、科普“三轮”驱动的路径与策略研究</w:t>
            </w:r>
          </w:p>
          <w:p w:rsidR="003A17BD" w:rsidRPr="003A17BD" w:rsidRDefault="003A17BD" w:rsidP="003A17BD">
            <w:pPr>
              <w:widowControl/>
              <w:spacing w:before="240" w:after="240"/>
              <w:ind w:firstLine="584"/>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科学总结科协工作特点和发展规律，深入梳理智库、学术、科普发展的经验做法，增强新时代使命担当的自觉与自信，探讨如何更加积极地把科协工作融入全省工作大局之中，以格局重塑、流程再造和组织重构为切入点，推动“四服务”落地生效，形成与科技强省相适应的科协组织体系和工作格局，建设全国一流的创新战略研究中心、科学文化传播中心、国际科技合作交流中心，成为名副其实的、充分满足江苏科技工作者学术需求和精神需求的科技工作者之家。</w:t>
            </w:r>
          </w:p>
          <w:p w:rsidR="003A17BD" w:rsidRPr="003A17BD" w:rsidRDefault="003A17BD" w:rsidP="003A17BD">
            <w:pPr>
              <w:widowControl/>
              <w:spacing w:line="340" w:lineRule="atLeast"/>
              <w:ind w:firstLine="584"/>
              <w:jc w:val="left"/>
              <w:rPr>
                <w:rFonts w:ascii="宋体" w:eastAsia="宋体" w:hAnsi="宋体" w:cs="宋体" w:hint="eastAsia"/>
                <w:color w:val="3D3D3D"/>
                <w:kern w:val="0"/>
                <w:sz w:val="19"/>
                <w:szCs w:val="19"/>
              </w:rPr>
            </w:pPr>
            <w:r w:rsidRPr="003A17BD">
              <w:rPr>
                <w:rFonts w:ascii="宋体" w:eastAsia="宋体" w:hAnsi="宋体" w:cs="宋体" w:hint="eastAsia"/>
                <w:b/>
                <w:bCs/>
                <w:color w:val="000000"/>
                <w:kern w:val="0"/>
                <w:sz w:val="19"/>
              </w:rPr>
              <w:t>10. 科技创新智库支撑体系构建的路径与策略研究</w:t>
            </w:r>
          </w:p>
          <w:p w:rsidR="003A17BD" w:rsidRPr="003A17BD" w:rsidRDefault="003A17BD" w:rsidP="003A17BD">
            <w:pPr>
              <w:widowControl/>
              <w:spacing w:after="204" w:line="340" w:lineRule="atLeast"/>
              <w:ind w:firstLine="584"/>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科技创新智库在推动创新驱动发展、提升国家科技战略谋划和实施能力方面发挥着十分重要和独特的作用，而如何构建省级科技创新智库支撑体系则是智库建设的重中之重。通过分析当前我省科技创新智库在构建高端战略型支撑体系方面的现状及主要瓶颈，借鉴国内外科技创新智库在构建高端战略型支撑体系方面的成功经验及对我省的启示，最后提出我省科技创新智库支撑体系构建的路径及具体措</w:t>
            </w:r>
            <w:r w:rsidRPr="003A17BD">
              <w:rPr>
                <w:rFonts w:ascii="宋体" w:eastAsia="宋体" w:hAnsi="宋体" w:cs="宋体" w:hint="eastAsia"/>
                <w:color w:val="3D3D3D"/>
                <w:kern w:val="0"/>
                <w:sz w:val="19"/>
                <w:szCs w:val="19"/>
              </w:rPr>
              <w:lastRenderedPageBreak/>
              <w:t>施。</w:t>
            </w:r>
          </w:p>
          <w:p w:rsidR="003A17BD" w:rsidRPr="003A17BD" w:rsidRDefault="003A17BD" w:rsidP="003A17BD">
            <w:pPr>
              <w:widowControl/>
              <w:ind w:firstLine="584"/>
              <w:jc w:val="left"/>
              <w:rPr>
                <w:rFonts w:ascii="宋体" w:eastAsia="宋体" w:hAnsi="宋体" w:cs="宋体" w:hint="eastAsia"/>
                <w:color w:val="3D3D3D"/>
                <w:kern w:val="0"/>
                <w:sz w:val="19"/>
                <w:szCs w:val="19"/>
              </w:rPr>
            </w:pPr>
            <w:r w:rsidRPr="003A17BD">
              <w:rPr>
                <w:rFonts w:ascii="宋体" w:eastAsia="宋体" w:hAnsi="宋体" w:cs="宋体" w:hint="eastAsia"/>
                <w:b/>
                <w:bCs/>
                <w:color w:val="000000"/>
                <w:kern w:val="0"/>
                <w:sz w:val="19"/>
              </w:rPr>
              <w:t>11. </w:t>
            </w:r>
            <w:r w:rsidRPr="003A17BD">
              <w:rPr>
                <w:rFonts w:ascii="宋体" w:eastAsia="宋体" w:hAnsi="宋体" w:cs="宋体" w:hint="eastAsia"/>
                <w:b/>
                <w:bCs/>
                <w:color w:val="3D3D3D"/>
                <w:kern w:val="0"/>
                <w:sz w:val="19"/>
              </w:rPr>
              <w:t>科技社团治理方式及建设标准与路径研究</w:t>
            </w:r>
          </w:p>
          <w:p w:rsidR="003A17BD" w:rsidRPr="003A17BD" w:rsidRDefault="003A17BD" w:rsidP="003A17BD">
            <w:pPr>
              <w:widowControl/>
              <w:spacing w:before="240" w:after="240"/>
              <w:ind w:firstLine="584"/>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研究学会组织治理结构和方式改革现状。在分析发达国家优秀科技社团内部治理方式、功能作用、政府对科技社团治理模式等共性特点的基础上，结合我省实际，归纳能反映一流科技社团能力水平和治理方式的核心要素，提出建设一流科技社团的标准、路径、评价方法和政策建议。</w:t>
            </w:r>
          </w:p>
          <w:p w:rsidR="003A17BD" w:rsidRPr="003A17BD" w:rsidRDefault="003A17BD" w:rsidP="003A17BD">
            <w:pPr>
              <w:widowControl/>
              <w:spacing w:line="340" w:lineRule="atLeast"/>
              <w:ind w:firstLine="584"/>
              <w:jc w:val="left"/>
              <w:rPr>
                <w:rFonts w:ascii="宋体" w:eastAsia="宋体" w:hAnsi="宋体" w:cs="宋体" w:hint="eastAsia"/>
                <w:color w:val="3D3D3D"/>
                <w:kern w:val="0"/>
                <w:sz w:val="19"/>
                <w:szCs w:val="19"/>
              </w:rPr>
            </w:pPr>
            <w:r w:rsidRPr="003A17BD">
              <w:rPr>
                <w:rFonts w:ascii="宋体" w:eastAsia="宋体" w:hAnsi="宋体" w:cs="宋体" w:hint="eastAsia"/>
                <w:b/>
                <w:bCs/>
                <w:color w:val="000000"/>
                <w:kern w:val="0"/>
                <w:sz w:val="19"/>
              </w:rPr>
              <w:t>12. 江苏公民科学素质保障体系构建及提升对策研究</w:t>
            </w:r>
          </w:p>
          <w:p w:rsidR="003A17BD" w:rsidRPr="003A17BD" w:rsidRDefault="003A17BD" w:rsidP="003A17BD">
            <w:pPr>
              <w:widowControl/>
              <w:spacing w:line="340" w:lineRule="atLeast"/>
              <w:ind w:firstLine="584"/>
              <w:jc w:val="left"/>
              <w:rPr>
                <w:rFonts w:ascii="宋体" w:eastAsia="宋体" w:hAnsi="宋体" w:cs="宋体" w:hint="eastAsia"/>
                <w:color w:val="3D3D3D"/>
                <w:kern w:val="0"/>
                <w:sz w:val="19"/>
                <w:szCs w:val="19"/>
              </w:rPr>
            </w:pPr>
            <w:r w:rsidRPr="003A17BD">
              <w:rPr>
                <w:rFonts w:ascii="宋体" w:eastAsia="宋体" w:hAnsi="宋体" w:cs="宋体" w:hint="eastAsia"/>
                <w:color w:val="000000"/>
                <w:kern w:val="0"/>
                <w:sz w:val="19"/>
                <w:szCs w:val="19"/>
              </w:rPr>
              <w:t>分析我省公民科学素质现状的基础上，</w:t>
            </w:r>
            <w:r w:rsidRPr="003A17BD">
              <w:rPr>
                <w:rFonts w:ascii="宋体" w:eastAsia="宋体" w:hAnsi="宋体" w:cs="宋体" w:hint="eastAsia"/>
                <w:color w:val="3D3D3D"/>
                <w:kern w:val="0"/>
                <w:sz w:val="19"/>
                <w:szCs w:val="19"/>
              </w:rPr>
              <w:t>采取文献研究法、实地访谈法、内容分析法和问卷调查法等方法，</w:t>
            </w:r>
            <w:r w:rsidRPr="003A17BD">
              <w:rPr>
                <w:rFonts w:ascii="宋体" w:eastAsia="宋体" w:hAnsi="宋体" w:cs="宋体" w:hint="eastAsia"/>
                <w:color w:val="000000"/>
                <w:kern w:val="0"/>
                <w:sz w:val="19"/>
                <w:szCs w:val="19"/>
              </w:rPr>
              <w:t>对公民科学素质建设的保障体系构建问题</w:t>
            </w:r>
            <w:r w:rsidRPr="003A17BD">
              <w:rPr>
                <w:rFonts w:ascii="宋体" w:eastAsia="宋体" w:hAnsi="宋体" w:cs="宋体" w:hint="eastAsia"/>
                <w:color w:val="3D3D3D"/>
                <w:kern w:val="0"/>
                <w:sz w:val="19"/>
                <w:szCs w:val="19"/>
              </w:rPr>
              <w:t>展开研究，比较研究国外相关案例，梳理查找存在问题及短板，为有效构建我省公民科学素质建设保障体系提出有效建议，促进重点人群科学素质行动和重点工程有效实施，推动我省公民科学素质全面提升。</w:t>
            </w:r>
          </w:p>
          <w:p w:rsidR="003A17BD" w:rsidRPr="003A17BD" w:rsidRDefault="003A17BD" w:rsidP="003A17BD">
            <w:pPr>
              <w:widowControl/>
              <w:spacing w:line="340" w:lineRule="atLeast"/>
              <w:ind w:firstLine="584"/>
              <w:jc w:val="left"/>
              <w:rPr>
                <w:rFonts w:ascii="宋体" w:eastAsia="宋体" w:hAnsi="宋体" w:cs="宋体" w:hint="eastAsia"/>
                <w:color w:val="3D3D3D"/>
                <w:kern w:val="0"/>
                <w:sz w:val="19"/>
                <w:szCs w:val="19"/>
              </w:rPr>
            </w:pPr>
            <w:r w:rsidRPr="003A17BD">
              <w:rPr>
                <w:rFonts w:ascii="宋体" w:eastAsia="宋体" w:hAnsi="宋体" w:cs="宋体" w:hint="eastAsia"/>
                <w:b/>
                <w:bCs/>
                <w:color w:val="000000"/>
                <w:kern w:val="0"/>
                <w:sz w:val="19"/>
              </w:rPr>
              <w:t>13．科技工作者</w:t>
            </w:r>
            <w:r w:rsidRPr="003A17BD">
              <w:rPr>
                <w:rFonts w:ascii="宋体" w:eastAsia="宋体" w:hAnsi="宋体" w:cs="宋体" w:hint="eastAsia"/>
                <w:b/>
                <w:bCs/>
                <w:color w:val="3D3D3D"/>
                <w:kern w:val="0"/>
                <w:sz w:val="19"/>
              </w:rPr>
              <w:t>健康服务新模式</w:t>
            </w:r>
            <w:r w:rsidRPr="003A17BD">
              <w:rPr>
                <w:rFonts w:ascii="宋体" w:eastAsia="宋体" w:hAnsi="宋体" w:cs="宋体" w:hint="eastAsia"/>
                <w:b/>
                <w:bCs/>
                <w:color w:val="000000"/>
                <w:kern w:val="0"/>
                <w:sz w:val="19"/>
              </w:rPr>
              <w:t>创新研究</w:t>
            </w:r>
          </w:p>
          <w:p w:rsidR="003A17BD" w:rsidRPr="003A17BD" w:rsidRDefault="003A17BD" w:rsidP="003A17BD">
            <w:pPr>
              <w:widowControl/>
              <w:spacing w:after="204" w:line="340" w:lineRule="atLeast"/>
              <w:ind w:firstLine="584"/>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以健康需求为导向，探索研究科技创新为基础的智能化、区域性健康服务新模式，开展科技工作者健康素养调查、科技类院校学生工匠心理发展特征与塑造、科技辅导员队伍专业化发展、青少年科学工作室发展、中小学科技课堂教学生态、江苏科教文战略先行、科技人才培养新生态等方面研究。</w:t>
            </w:r>
          </w:p>
          <w:p w:rsidR="003A17BD" w:rsidRPr="003A17BD" w:rsidRDefault="003A17BD" w:rsidP="003A17BD">
            <w:pPr>
              <w:widowControl/>
              <w:ind w:firstLine="584"/>
              <w:jc w:val="left"/>
              <w:rPr>
                <w:rFonts w:ascii="宋体" w:eastAsia="宋体" w:hAnsi="宋体" w:cs="宋体" w:hint="eastAsia"/>
                <w:color w:val="3D3D3D"/>
                <w:kern w:val="0"/>
                <w:sz w:val="19"/>
                <w:szCs w:val="19"/>
              </w:rPr>
            </w:pPr>
            <w:r w:rsidRPr="003A17BD">
              <w:rPr>
                <w:rFonts w:ascii="宋体" w:eastAsia="宋体" w:hAnsi="宋体" w:cs="宋体" w:hint="eastAsia"/>
                <w:b/>
                <w:bCs/>
                <w:color w:val="3D3D3D"/>
                <w:kern w:val="0"/>
                <w:sz w:val="19"/>
              </w:rPr>
              <w:t>14.科技工作者科研环境分析与研究</w:t>
            </w:r>
          </w:p>
          <w:p w:rsidR="003A17BD" w:rsidRPr="003A17BD" w:rsidRDefault="003A17BD" w:rsidP="003A17BD">
            <w:pPr>
              <w:widowControl/>
              <w:spacing w:before="240" w:after="240"/>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    围绕科技40条政策措施落实情况，调查我省科技资源分配情况、资源使用效率，分析和研究科技工作者开展科研活动所面临的问题和困难，比较国外发达国家成功案例，通过线性分析调查数据，剖析原因，针对性提出有效措施，为科技类政策措施落地见效，营造优良科研环境提供研究报告。</w:t>
            </w:r>
          </w:p>
          <w:p w:rsidR="003A17BD" w:rsidRPr="003A17BD" w:rsidRDefault="003A17BD" w:rsidP="003A17BD">
            <w:pPr>
              <w:widowControl/>
              <w:ind w:firstLine="584"/>
              <w:jc w:val="left"/>
              <w:rPr>
                <w:rFonts w:ascii="宋体" w:eastAsia="宋体" w:hAnsi="宋体" w:cs="宋体" w:hint="eastAsia"/>
                <w:color w:val="3D3D3D"/>
                <w:kern w:val="0"/>
                <w:sz w:val="19"/>
                <w:szCs w:val="19"/>
              </w:rPr>
            </w:pPr>
            <w:r w:rsidRPr="003A17BD">
              <w:rPr>
                <w:rFonts w:ascii="宋体" w:eastAsia="宋体" w:hAnsi="宋体" w:cs="宋体" w:hint="eastAsia"/>
                <w:b/>
                <w:bCs/>
                <w:color w:val="3D3D3D"/>
                <w:kern w:val="0"/>
                <w:sz w:val="19"/>
              </w:rPr>
              <w:t>15. 江苏省离岸创新创业基地建设模式研究</w:t>
            </w:r>
          </w:p>
          <w:p w:rsidR="003A17BD" w:rsidRPr="003A17BD" w:rsidRDefault="003A17BD" w:rsidP="003A17BD">
            <w:pPr>
              <w:widowControl/>
              <w:spacing w:before="240" w:after="240"/>
              <w:ind w:firstLine="584"/>
              <w:jc w:val="left"/>
              <w:rPr>
                <w:rFonts w:ascii="宋体" w:eastAsia="宋体" w:hAnsi="宋体" w:cs="宋体" w:hint="eastAsia"/>
                <w:color w:val="3D3D3D"/>
                <w:kern w:val="0"/>
                <w:sz w:val="19"/>
                <w:szCs w:val="19"/>
              </w:rPr>
            </w:pPr>
            <w:r w:rsidRPr="003A17BD">
              <w:rPr>
                <w:rFonts w:ascii="宋体" w:eastAsia="宋体" w:hAnsi="宋体" w:cs="宋体" w:hint="eastAsia"/>
                <w:color w:val="3D3D3D"/>
                <w:kern w:val="0"/>
                <w:sz w:val="19"/>
                <w:szCs w:val="19"/>
              </w:rPr>
              <w:t>研究如何用好组织和市场资源，统筹国内和国际资源，持续放大苏州离岸创新创业基地效应，引导海外发达国家离岸创新资源与江苏合作。探索如何加强海外科协组织建设，分析离岸孵化器建设实践经验和发展难点，提出如何进一步有效实施江苏省“海智计划”，建设离岸创新创业基地，形成广聚天下英才网络体系的对策建议。</w:t>
            </w:r>
          </w:p>
          <w:p w:rsidR="003A17BD" w:rsidRPr="003A17BD" w:rsidRDefault="003A17BD" w:rsidP="003A17BD">
            <w:pPr>
              <w:widowControl/>
              <w:ind w:firstLine="584"/>
              <w:jc w:val="left"/>
              <w:rPr>
                <w:rFonts w:ascii="宋体" w:eastAsia="宋体" w:hAnsi="宋体" w:cs="宋体" w:hint="eastAsia"/>
                <w:color w:val="3D3D3D"/>
                <w:kern w:val="0"/>
                <w:sz w:val="19"/>
                <w:szCs w:val="19"/>
              </w:rPr>
            </w:pPr>
            <w:r w:rsidRPr="003A17BD">
              <w:rPr>
                <w:rFonts w:ascii="宋体" w:eastAsia="宋体" w:hAnsi="宋体" w:cs="宋体" w:hint="eastAsia"/>
                <w:b/>
                <w:bCs/>
                <w:color w:val="3D3D3D"/>
                <w:kern w:val="0"/>
                <w:sz w:val="19"/>
              </w:rPr>
              <w:t>16. 江苏省基层科协组织建设模式及路径研究</w:t>
            </w:r>
          </w:p>
          <w:p w:rsidR="003A17BD" w:rsidRPr="003A17BD" w:rsidRDefault="003A17BD" w:rsidP="003A17BD">
            <w:pPr>
              <w:widowControl/>
              <w:spacing w:before="240" w:after="240"/>
              <w:ind w:firstLine="584"/>
              <w:jc w:val="left"/>
              <w:rPr>
                <w:rFonts w:ascii="宋体" w:eastAsia="宋体" w:hAnsi="宋体" w:cs="宋体"/>
                <w:color w:val="3D3D3D"/>
                <w:kern w:val="0"/>
                <w:sz w:val="19"/>
                <w:szCs w:val="19"/>
              </w:rPr>
            </w:pPr>
            <w:r w:rsidRPr="003A17BD">
              <w:rPr>
                <w:rFonts w:ascii="宋体" w:eastAsia="宋体" w:hAnsi="宋体" w:cs="宋体" w:hint="eastAsia"/>
                <w:color w:val="3D3D3D"/>
                <w:kern w:val="0"/>
                <w:sz w:val="19"/>
                <w:szCs w:val="19"/>
              </w:rPr>
              <w:t>研究基层科协组织建设模式及有效路径，围绕推进县级科协建设和改革，发挥好县医院院长、中学校长和农技站站长等“关键人物”的作用，大力发展农技协、企业科协、社区科协等基层组织，推进专兼挂相结合的动态岗位管理制度，发挥村（社区）大学生村官科普员作用，全力服务乡村振兴战略深入实施等方面开展研究。</w:t>
            </w:r>
          </w:p>
        </w:tc>
      </w:tr>
    </w:tbl>
    <w:p w:rsidR="00504FA8" w:rsidRPr="003A17BD" w:rsidRDefault="00504FA8"/>
    <w:sectPr w:rsidR="00504FA8" w:rsidRPr="003A17BD" w:rsidSect="00504FA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A17BD"/>
    <w:rsid w:val="003A17BD"/>
    <w:rsid w:val="00504F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FA8"/>
    <w:pPr>
      <w:widowControl w:val="0"/>
      <w:jc w:val="both"/>
    </w:pPr>
  </w:style>
  <w:style w:type="paragraph" w:styleId="6">
    <w:name w:val="heading 6"/>
    <w:basedOn w:val="a"/>
    <w:link w:val="6Char"/>
    <w:uiPriority w:val="9"/>
    <w:qFormat/>
    <w:rsid w:val="003A17BD"/>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标题 6 Char"/>
    <w:basedOn w:val="a0"/>
    <w:link w:val="6"/>
    <w:uiPriority w:val="9"/>
    <w:rsid w:val="003A17BD"/>
    <w:rPr>
      <w:rFonts w:ascii="宋体" w:eastAsia="宋体" w:hAnsi="宋体" w:cs="宋体"/>
      <w:b/>
      <w:bCs/>
      <w:kern w:val="0"/>
      <w:sz w:val="15"/>
      <w:szCs w:val="15"/>
    </w:rPr>
  </w:style>
  <w:style w:type="paragraph" w:styleId="a3">
    <w:name w:val="Normal (Web)"/>
    <w:basedOn w:val="a"/>
    <w:uiPriority w:val="99"/>
    <w:unhideWhenUsed/>
    <w:rsid w:val="003A17B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3A17BD"/>
  </w:style>
  <w:style w:type="character" w:styleId="a4">
    <w:name w:val="Hyperlink"/>
    <w:basedOn w:val="a0"/>
    <w:uiPriority w:val="99"/>
    <w:semiHidden/>
    <w:unhideWhenUsed/>
    <w:rsid w:val="003A17BD"/>
    <w:rPr>
      <w:color w:val="0000FF"/>
      <w:u w:val="single"/>
    </w:rPr>
  </w:style>
  <w:style w:type="character" w:styleId="a5">
    <w:name w:val="Strong"/>
    <w:basedOn w:val="a0"/>
    <w:uiPriority w:val="22"/>
    <w:qFormat/>
    <w:rsid w:val="003A17BD"/>
    <w:rPr>
      <w:b/>
      <w:bCs/>
    </w:rPr>
  </w:style>
  <w:style w:type="paragraph" w:styleId="a6">
    <w:name w:val="Balloon Text"/>
    <w:basedOn w:val="a"/>
    <w:link w:val="Char"/>
    <w:uiPriority w:val="99"/>
    <w:semiHidden/>
    <w:unhideWhenUsed/>
    <w:rsid w:val="003A17BD"/>
    <w:rPr>
      <w:sz w:val="18"/>
      <w:szCs w:val="18"/>
    </w:rPr>
  </w:style>
  <w:style w:type="character" w:customStyle="1" w:styleId="Char">
    <w:name w:val="批注框文本 Char"/>
    <w:basedOn w:val="a0"/>
    <w:link w:val="a6"/>
    <w:uiPriority w:val="99"/>
    <w:semiHidden/>
    <w:rsid w:val="003A17BD"/>
    <w:rPr>
      <w:sz w:val="18"/>
      <w:szCs w:val="18"/>
    </w:rPr>
  </w:style>
</w:styles>
</file>

<file path=word/webSettings.xml><?xml version="1.0" encoding="utf-8"?>
<w:webSettings xmlns:r="http://schemas.openxmlformats.org/officeDocument/2006/relationships" xmlns:w="http://schemas.openxmlformats.org/wordprocessingml/2006/main">
  <w:divs>
    <w:div w:id="19877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skxdxb@163.com" TargetMode="Externa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2018-03-21T00:58:00Z</dcterms:created>
  <dcterms:modified xsi:type="dcterms:W3CDTF">2018-03-21T00:59:00Z</dcterms:modified>
</cp:coreProperties>
</file>